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2 :تنازع القوانين في فرنسا: خالل القرن الثامن عشر نشط الفقهاء الفرنسيون نشاطا موفو ار</w:t>
      </w:r>
    </w:p>
    <w:p>
      <w:pPr/>
      <w:r>
        <w:rPr>
          <w:shd w:val="clear" w:fill="eeee80"/>
        </w:rPr>
        <w:t xml:space="preserve">في حل قواعد تنازع القوانين ال سيما على المستوى المحلي،</w:t>
      </w:r>
    </w:p>
    <w:p>
      <w:pPr/>
      <w:r>
        <w:rPr>
          <w:shd w:val="clear" w:fill="eeee80"/>
        </w:rPr>
        <w:t xml:space="preserve"> إلى أن قامت الثورة الفرنسية وبدأت </w:t>
      </w:r>
    </w:p>
    <w:p>
      <w:pPr/>
      <w:r>
        <w:rPr>
          <w:shd w:val="clear" w:fill="eeee80"/>
        </w:rPr>
        <w:t xml:space="preserve">حركة التقنين تظهر بداية في وضع القانون المدني الفرنسي سنة 1381 الذي نص في مادته </w:t>
      </w:r>
    </w:p>
    <w:p>
      <w:pPr/>
      <w:r>
        <w:rPr/>
        <w:t xml:space="preserve">الثالثة على تنازع القوانين؛</w:t>
      </w:r>
    </w:p>
    <w:p>
      <w:pPr/>
      <w:r>
        <w:rPr>
          <w:shd w:val="clear" w:fill="eeee80"/>
        </w:rPr>
        <w:t xml:space="preserve"> فاحتل بذلك القانون الدولي الخاص ألول مرة مكانة في القوانين الوضعية</w:t>
      </w:r>
    </w:p>
    <w:p>
      <w:pPr/>
      <w:r>
        <w:rPr>
          <w:shd w:val="clear" w:fill="eeee80"/>
        </w:rPr>
        <w:t xml:space="preserve">بعد أن كان مجرد نظريات فقهية.</w:t>
      </w:r>
    </w:p>
    <w:p>
      <w:pPr/>
      <w:r>
        <w:rPr/>
        <w:t xml:space="preserve"> ثم أخذت التشريعات المدنية في مختلف الدو ل تحذو حذوهليصبح القانون الدولي الخاص حقيقة واقعية.</w:t>
      </w:r>
    </w:p>
    <w:p>
      <w:pPr/>
      <w:r>
        <w:rPr>
          <w:shd w:val="clear" w:fill="eeee80"/>
        </w:rPr>
        <w:t xml:space="preserve"> فصار القرن التاسع عشر عام ار بالتشريع في تنازع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2026-10-13T04:38:11+00:00</dcterms:created>
  <dcterms:modified xsi:type="dcterms:W3CDTF">2026-10-13T04:38:11+00:00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