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•الحكومة تُعطي أولوية خاصة في الموازنة لبرامج الدعم الاجتماعي الموجهة للفئات</w:t>
      </w:r>
    </w:p>
    <w:p>
      <w:pPr/>
      <w:r>
        <w:rPr>
          <w:shd w:val="clear" w:fill="eeee80"/>
        </w:rPr>
        <w:t xml:space="preserve">الأكثر ضعفًا مثل الأسر ذات الدخل المحدود،</w:t>
      </w:r>
    </w:p>
    <w:p>
      <w:pPr/>
      <w:r>
        <w:rPr>
          <w:shd w:val="clear" w:fill="eeee80"/>
        </w:rPr>
        <w:t xml:space="preserve"> هذا الدعم يساعد على توفير شبكة أمان اجتماعي للمواطنين الذين يعانون من الفقر أو يواجهون صعوبات 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2026-09-21T07:48:55+00:00</dcterms:created>
  <dcterms:modified xsi:type="dcterms:W3CDTF">2026-09-21T07:48:55+00:00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