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الفاتورة التجارية الوثيقة المحاسبية الأكثر أهمية في عمليات التبادل الدولي،</w:t>
      </w:r>
    </w:p>
    <w:p>
      <w:pPr/>
      <w:r>
        <w:rPr>
          <w:shd w:val="clear" w:fill="eeee80"/>
        </w:rPr>
        <w:t xml:space="preserve"> ليس فقط إلثبات الديون وإنما للسماح للمصالح الجمركية بمراقبة البيانات المتعلقة بالبضاعة المشحونة.</w:t>
      </w:r>
    </w:p>
    <w:p>
      <w:pPr/>
      <w:r>
        <w:rPr>
          <w:shd w:val="clear" w:fill="eeee80"/>
        </w:rPr>
        <w:t xml:space="preserve"> يجب أن ترفق هذه الفاتورة بالبضاعة المعنية،</w:t>
      </w:r>
    </w:p>
    <w:p>
      <w:pPr/>
      <w:r>
        <w:rPr>
          <w:shd w:val="clear" w:fill="eeee80"/>
        </w:rPr>
        <w:t xml:space="preserve"> حيث يبين آجال الشحن كما يقوم المصدر بتحرير السعر الوحدوي المتفق عليه للبضاعة ووجهتها،</w:t>
      </w:r>
    </w:p>
    <w:p>
      <w:pPr/>
      <w:r>
        <w:rPr/>
        <w:t xml:space="preserve"> إضافة إلى وجوب مطابقتها مع باقي المستندات و خاصة بوليصة الشحن من كافة النواحي من حيث: اسم المستورد،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2026-10-09T10:15:09+00:00</dcterms:created>
  <dcterms:modified xsi:type="dcterms:W3CDTF">2026-10-09T10:15:09+00:00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