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له دائماً نفس النقط ونفس الحروف ونفس الكلمات (وأترك للماسوريين ولمن يعبدون الخرف بطريقه خرافيه أمر البرهنه علي ذلك) بل أعني فقط أن المعني الذي من أجله وحده يسمي النص إلهيا ،</w:t>
      </w:r>
    </w:p>
    <w:p>
      <w:pPr/>
      <w:r>
        <w:rPr/>
        <w:t xml:space="preserve"> وان كانت الكلمات التي استخدمت اولا للتعبير عنه قد تغيرت مرات كثيرة ، وهذا لا ينقص مطلقا من ألوهيه الكتاب لانه يظل إلهيا وهو مكتوب بكلمات أخري وبلغه أخري.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2026-10-20T12:01:27+00:00</dcterms:created>
  <dcterms:modified xsi:type="dcterms:W3CDTF">2026-10-20T12:01:27+00:00</dcterms:modified>
</cp:coreProperties>
</file>

<file path=docProps/custom.xml><?xml version="1.0" encoding="utf-8"?>
<Properties xmlns="http://schemas.openxmlformats.org/officeDocument/2006/custom-properties" xmlns:vt="http://schemas.openxmlformats.org/officeDocument/2006/docPropsVTypes"/>
</file>