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لضمان تمكين فعال للطالب ولتوجيه الأداء لتحقيق المستهدفات المرجوة،</w:t>
      </w:r>
    </w:p>
    <w:p>
      <w:pPr/>
      <w:r>
        <w:rPr>
          <w:shd w:val="clear" w:fill="eeee80"/>
        </w:rPr>
        <w:t xml:space="preserve"> تم تحقيق متطلبات نموذج قدرات الحوكمة وإدارة المخاطر والالتزام ومن ثم مواءمتها مع المبادئ التوجيهية في نظام الآيزو 3700 (نظام الحوكمة) للخروج بنموذج عمل طلابي متكامل محكم مبني على دراسة المخاطر والفرص المحتملة والعمل بموثوقية و نزاهة،</w:t>
      </w:r>
    </w:p>
    <w:p>
      <w:pPr/>
      <w:r>
        <w:rPr>
          <w:shd w:val="clear" w:fill="eeee80"/>
        </w:rPr>
        <w:t xml:space="preserve"> إذ تمت دراسة وتحليل السياقات الداخلية والخارجية والثقافة المؤسسية وتحليل أصحاب المصلحة للمنظومة،</w:t>
      </w:r>
    </w:p>
    <w:p>
      <w:pPr/>
      <w:r>
        <w:rPr>
          <w:shd w:val="clear" w:fill="eeee80"/>
        </w:rPr>
        <w:t xml:space="preserve"> ومن ثم مواءمة نتيجة الدراسة مع توجه وأهداف المنظومة،</w:t>
      </w:r>
    </w:p>
    <w:p>
      <w:pPr/>
      <w:r>
        <w:rPr>
          <w:shd w:val="clear" w:fill="eeee80"/>
        </w:rPr>
        <w:t xml:space="preserve"> ومن ثم بناء الضوابط المحكمة لأداء المنظومة،</w:t>
      </w:r>
    </w:p>
    <w:p>
      <w:pPr/>
      <w:r>
        <w:rPr/>
        <w:t xml:space="preserve"> والتي تشمل: تحديد الضوابط الاستباقية والاستقصائية والتصحيحية،</w:t>
      </w:r>
    </w:p>
    <w:p>
      <w:pPr/>
      <w:r>
        <w:rPr>
          <w:shd w:val="clear" w:fill="eeee80"/>
        </w:rPr>
        <w:t xml:space="preserve"> عملية التواصل الداخلية والخارجية،</w:t>
      </w:r>
    </w:p>
    <w:p>
      <w:pPr/>
      <w:r>
        <w:rPr>
          <w:shd w:val="clear" w:fill="eeee80"/>
        </w:rPr>
        <w:t xml:space="preserve"> ومن ثم مراجعة ومتابعة الامتثال  عبر مؤشرات الأداء العامة ومؤشرات امتثال المنظومة ومؤشرات فعالية نموذج القدرات المطبق وتوفير تأكيد وضمان عبر المدقق الداخلي الطلابي الخاص بالمنظومة الطلابية.</w:t>
      </w:r>
    </w:p>
    <w:p>
      <w:pPr/>
      <w:r>
        <w:rPr>
          <w:shd w:val="clear" w:fill="eeee80"/>
        </w:rPr>
        <w:t xml:space="preserve">يلي تحقيق متطلبات نموذج القدرات،</w:t>
      </w:r>
    </w:p>
    <w:p>
      <w:pPr/>
      <w:r>
        <w:rPr>
          <w:shd w:val="clear" w:fill="eeee80"/>
        </w:rPr>
        <w:t xml:space="preserve"> مواءمة نموذج عمل القدرات مع المبادئ التوجيهية لنظام الآيزو 37000،</w:t>
      </w:r>
    </w:p>
    <w:p>
      <w:pPr/>
      <w:r>
        <w:rPr>
          <w:shd w:val="clear" w:fill="eeee80"/>
        </w:rPr>
        <w:t xml:space="preserve"> وذلك لتوفير نموذج عمل أكثر جودة،</w:t>
      </w:r>
    </w:p>
    <w:p>
      <w:pPr/>
      <w:r>
        <w:rPr/>
        <w:t xml:space="preserve"> إذ تتمثل المبادئ في: تحديد الغاية المؤسسية والتي تمثلت في إثراء رحلة الطالب،</w:t>
      </w:r>
    </w:p>
    <w:p>
      <w:pPr/>
      <w:r>
        <w:rPr>
          <w:shd w:val="clear" w:fill="eeee80"/>
        </w:rPr>
        <w:t xml:space="preserve"> توليد القيمة الخاصة بالمنظومة وفقًا للقيم والمخرجات المؤسسية لجامعة تبوك،</w:t>
      </w:r>
    </w:p>
    <w:p>
      <w:pPr/>
      <w:r>
        <w:rPr>
          <w:shd w:val="clear" w:fill="eeee80"/>
        </w:rPr>
        <w:t xml:space="preserve"> ضمان تحقيق المساءلة والرقابة الداخلية،</w:t>
      </w:r>
    </w:p>
    <w:p>
      <w:pPr/>
      <w:r>
        <w:rPr>
          <w:shd w:val="clear" w:fill="eeee80"/>
        </w:rPr>
        <w:t xml:space="preserve"> مشاركة أصحاب المصلحة ما يعنيهم وضمان تحقيق اولوياتهم،</w:t>
      </w:r>
    </w:p>
    <w:p>
      <w:pPr/>
      <w:r>
        <w:rPr>
          <w:shd w:val="clear" w:fill="eeee80"/>
        </w:rPr>
        <w:t xml:space="preserve"> القيادة وفقًا لمرجع ومنهجية واضحة تتمثل في ميثاق السلوك المهني والأخلاقي ومعايير اتخاذ القرار ،</w:t>
      </w:r>
    </w:p>
    <w:p>
      <w:pPr/>
      <w:r>
        <w:rPr>
          <w:shd w:val="clear" w:fill="eeee80"/>
        </w:rPr>
        <w:t xml:space="preserve"> ولضمان اتخاذ القرار وفق بيانات صحيحة وذو جودة عالية أنشئت سياسة إدارة بيانات النشاط الطلابي والتي تصف المنهج العام لإدارة بيانات المنظومة بكفاءة،</w:t>
      </w:r>
    </w:p>
    <w:p>
      <w:pPr/>
      <w:r>
        <w:rPr>
          <w:shd w:val="clear" w:fill="eeee80"/>
        </w:rPr>
        <w:t xml:space="preserve"> حوكمة المخاطر وذلك تم تطبيقه عبر خطة ووثيقة إدارة المخاطر ،</w:t>
      </w:r>
    </w:p>
    <w:p>
      <w:pPr/>
      <w:r>
        <w:rPr>
          <w:shd w:val="clear" w:fill="eeee80"/>
        </w:rPr>
        <w:t xml:space="preserve"> أيضًا شملت الحوكمة جانب المسؤولية المجتمعية في النشاط الطلابي إذ تم تعيين الضوابط والإطار المُحكم للأنشطة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2026-09-30T03:31:04+00:00</dcterms:created>
  <dcterms:modified xsi:type="dcterms:W3CDTF">2026-09-30T03:31:04+00:00</dcterms:modified>
</cp:coreProperties>
</file>

<file path=docProps/custom.xml><?xml version="1.0" encoding="utf-8"?>
<Properties xmlns="http://schemas.openxmlformats.org/officeDocument/2006/custom-properties" xmlns:vt="http://schemas.openxmlformats.org/officeDocument/2006/docPropsVTypes"/>
</file>