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أصبح التحول الرقمى هدفا ً أساسيا ً لكافة البنوك حيث يقود الستحداث أنماط جديدة والتحول نحو</w:t>
      </w:r>
    </w:p>
    <w:p>
      <w:pPr/>
      <w:r>
        <w:rPr/>
        <w:t xml:space="preserve">مجتمع معلوماتى وصوال ً لتحقيق األهداف الشاملة للتنمية المستدامة.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2026-10-02T08:49:02+00:00</dcterms:created>
  <dcterms:modified xsi:type="dcterms:W3CDTF">2026-10-02T08:49:02+00:00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