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سيؤدي بالضرورة إلى فاعلية منظمات القطاع الأهلي (الجمعيات الأهلية نموذجا)،</w:t>
      </w:r>
    </w:p>
    <w:p>
      <w:pPr/>
      <w:r>
        <w:rPr>
          <w:shd w:val="clear" w:fill="eeee80"/>
        </w:rPr>
        <w:t xml:space="preserve"> فعلى سبيل المثال لقد جعلت تكنولوجيا المعلومات والاتصالات الرعاية الصحية أكثر شمولاً وإتاحة من خلال العلاج عن بعد ،</w:t>
      </w:r>
    </w:p>
    <w:p>
      <w:pPr/>
      <w:r>
        <w:rPr>
          <w:shd w:val="clear" w:fill="eeee80"/>
        </w:rPr>
        <w:t xml:space="preserve">المؤشرات والمعايير التي توضح كفاءة المنظمة:</w:t>
      </w:r>
    </w:p>
    <w:p>
      <w:pPr/>
      <w:r>
        <w:rPr>
          <w:shd w:val="clear" w:fill="eeee80"/>
        </w:rPr>
        <w:t xml:space="preserve">يوجد في هذا الصدد عدد من المعايير الأساسية التي يمكن أن نستخلص منها مدى</w:t>
      </w:r>
    </w:p>
    <w:p>
      <w:pPr/>
      <w:r>
        <w:rPr>
          <w:shd w:val="clear" w:fill="eeee80"/>
        </w:rPr>
        <w:t xml:space="preserve">- مؤشرات الموارد المالية للمنظمة:</w:t>
      </w:r>
    </w:p>
    <w:p>
      <w:pPr/>
      <w:r>
        <w:rPr>
          <w:shd w:val="clear" w:fill="eeee80"/>
        </w:rPr>
        <w:t xml:space="preserve">إن من أكبر التحديات التي تجابه المنظمة تدبير التمويل،</w:t>
      </w:r>
    </w:p>
    <w:p>
      <w:pPr/>
      <w:r>
        <w:rPr/>
        <w:t xml:space="preserve">استمراريته، ووجود بدائل له، وتحقيق إدارة حسابية توافق المعايير المحاسبية المعمول بها داخل المنظمة مع المعايير العامة، وتقويم الأنشطة في ضوء التكلفة والمنفعة، وأيضاً المردود الاجتماعي،</w:t>
      </w:r>
    </w:p>
    <w:p>
      <w:pPr/>
      <w:r>
        <w:rPr>
          <w:shd w:val="clear" w:fill="eeee80"/>
        </w:rPr>
        <w:t xml:space="preserve">منظمات القطاع الأهلي (الجمعيات الأهلية نموذجا) في تضافر الجهود لتحقيق مصادر تمويل متنوعة .</w:t>
      </w:r>
    </w:p>
    <w:p>
      <w:pPr/>
      <w:r>
        <w:rPr>
          <w:shd w:val="clear" w:fill="eeee80"/>
        </w:rPr>
        <w:t xml:space="preserve">ويوضح الجدول التالي المؤشرات المستخدمة لبحث كفاءة المنظمة في مجال التمويل</w:t>
      </w:r>
    </w:p>
    <w:p>
      <w:pPr/>
      <w:r>
        <w:rPr>
          <w:shd w:val="clear" w:fill="eeee80"/>
        </w:rPr>
        <w:t xml:space="preserve"> المؤشرات والمعايير التي توضح كفاءة المنظمة في مجال التمويل والإدارة المالية </w:t>
      </w:r>
    </w:p>
    <w:p>
      <w:pPr/>
      <w:r>
        <w:rPr>
          <w:shd w:val="clear" w:fill="eeee80"/>
        </w:rPr>
        <w:t xml:space="preserve">الباب السادس: بحوث وتجارب الممارسة المهنية مع المنظمات غير الربحية</w:t>
      </w:r>
    </w:p>
    <w:p>
      <w:pPr/>
      <w:r>
        <w:rPr>
          <w:shd w:val="clear" w:fill="eeee80"/>
        </w:rPr>
        <w:t xml:space="preserve">استمرارية مصادر دخل للمنظمة</w:t>
      </w:r>
    </w:p>
    <w:p>
      <w:pPr/>
      <w:r>
        <w:rPr>
          <w:shd w:val="clear" w:fill="eeee80"/>
        </w:rPr>
        <w:t xml:space="preserve">إستراتيجية لتطوير موارد المنظمة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2026-11-03T09:11:10+00:00</dcterms:created>
  <dcterms:modified xsi:type="dcterms:W3CDTF">2026-11-03T09:11:10+00:00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