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١-  القرارات التي يتخذها القطاع الخاص تؤدي احيانا الى نتائج عكسية على الاقتصاد العام كقلة اقبال المستهلكين خلال فترة الركود الاقتصادي.</w:t>
      </w:r>
    </w:p>
    <w:p>
      <w:pPr/>
      <w:r>
        <w:rPr/>
        <w:t xml:space="preserve"> هذا يؤدي الى فشل في السوق مما يدعو الحكومة الى اتخاذ سياسات فاعلة كالتحفيز الضرييبي.</w:t>
      </w:r>
    </w:p>
    <w:p>
      <w:pPr/>
      <w:r>
        <w:rPr>
          <w:shd w:val="clear" w:fill="eeee80"/>
        </w:rPr>
        <w:t xml:space="preserve">تدعم الاقتصاد المختلط و الذي يتمثل بقيادة القطاع الخاص للاقتصاد لكن بتحكم جزئي من قبل الحكومة .</w:t>
      </w:r>
    </w:p>
    <w:p>
      <w:pPr/>
      <w:r>
        <w:rPr/>
        <w:t xml:space="preserve">٢- يعتقد الكينزيون ان الاسعار سواء كانت راكدة او متقلبة في اي من مكونات الانفاق الاستهلاك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2026-10-04T14:35:33+00:00</dcterms:created>
  <dcterms:modified xsi:type="dcterms:W3CDTF">2026-10-04T14:35:33+00:00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