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ImpactMobility and Dexterity: Tasks that require fine motor skills, such as writing, typing, or buttoning a shirt, become challenging.Strength and Balance: The loss of an upper limb can affect overall body balance and strength, making activities like lifting objects or maintaining stability more difficult.Social Interactions: There may be changes in how individuals interact socially, potentially leading to feelings of isolation or self-consciousness.Adaptation and SupportProsthetics and Assistive Devices: Modern prosthetics can significantly improve functionality and independence.Rehabilitation and Therapy: Physical and occupational therapy can help individuals regain skills and adapt to new ways of performing tasks.Daily Activities: Simple daily tasks like eating, grooming, and dressing can require significant adjustments or assistance.Mental Health: Feelings of grief, frustration, or depression are common as individuals adapt to their new reality.Emotional Support: Counseling and support groups can provide emotional support and help individuals connect with others facing similar challenges.It's important to recognize the resilience and adaptability of individuals facing such challenges.Emotional and Psychological ImpactSelf-Esteem and Body Image: Adjusting to the physical change can affect a person's self-esteem and body image.With the right support and resources, many people find new ways to lead fulfilling lives.If you have any specific questions or need more information, feel free to 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