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إجراء الدراسات اللازمة وتحليل علاقته بإدارة سوء امتصاص الفركتوز سيسهل التدخل الغذائي المناسب الذي يستهدف التغذية المثلى والتطور النموذجي لمرضى CGGM. فهم استقلاب الفركتوز والعلاقة بين الاستهلاك المفرط للفركتوز والاضطرابات الأيضية يوفر فرصة أخرى للوقاية وعلاج العديد من الأمراض المزمنة. هناك حاجة إلى دراسات مستقبلية ذات قوة كافية وتصميم طولي لتقييم العلاقة بين الحالة الغذائية ونتائج CGGM السريرية باستخدام تعريف أكثر توحيدًا لقياس الحالة الغذائية في هذه الفئة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