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Sheikh Sulaiman bin Abdul-Aziz Al-Rajhi is also chairman of the National Agricultural Development Company and founder of the Al-Watania agricultural projects, which include the largest poultry farm in the Middle East and one of the most successful companies in Saudi Arabia.</w:t>
      </w:r>
    </w:p>
    <w:p>
      <w:pPr/>
      <w:r>
        <w:rPr/>
        <w:t xml:space="preserve"> Al Rajhi had visited a poultry farm abroad and had been shocked by the improper way chickens were fed and slaughtered. This prompted him to launch the poultry farm project, making sure that chickens were naturally fed and halal slaughtered according to Islamic tenets. He has also introduced and supported organic farming throughout the Middle East, intent on securing healthy food for all as a means of fostering good health, preventing illness and consequently reducing the cost of medical treatment. The Al-Rajhi projects diversified into other areas, as well, such as real estate and other investment projects.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2026-09-25T21:41:16+00:00</dcterms:created>
  <dcterms:modified xsi:type="dcterms:W3CDTF">2026-09-25T21:41:16+00:00</dcterms:modified>
</cp:coreProperties>
</file>

<file path=docProps/custom.xml><?xml version="1.0" encoding="utf-8"?>
<Properties xmlns="http://schemas.openxmlformats.org/officeDocument/2006/custom-properties" xmlns:vt="http://schemas.openxmlformats.org/officeDocument/2006/docPropsVTypes"/>
</file>