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الاختلاف في أصل الاجتهاد في المناط بعض العلماء قالوا: إن المناط يُجتهد فيه،  لأن معرفة العلة وتطبيقها على الوقائع تحتاج إلى نظر واستنباط.  لأن الاجتهاد في هذه الحالة يُعتبر تعدّيًا على النص.  لا يجوز الاجتهاد في غيرها.  كتحريم المخدرات،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