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والسواري قوائم عمودية تمسك الأشرعة،</w:t>
      </w:r>
    </w:p>
    <w:p>
      <w:pPr/>
      <w:r>
        <w:rPr>
          <w:shd w:val="clear" w:fill="eeee80"/>
        </w:rPr>
        <w:t xml:space="preserve"> وتمسك السارية الرئيسية منها أكبر الأشرعة.</w:t>
      </w:r>
    </w:p>
    <w:p>
      <w:pPr/>
      <w:r>
        <w:rPr>
          <w:shd w:val="clear" w:fill="eeee80"/>
        </w:rPr>
        <w:t xml:space="preserve"> ولبعض القوارب الشراعية الكبيرة شراع أقصر في اتجاه الكوثل يسمى السارية المزينية أو شراع أقصر في اتجاه القوس يسمى السارية الأمامية.</w:t>
      </w:r>
    </w:p>
    <w:p>
      <w:pPr/>
      <w:r>
        <w:rPr>
          <w:shd w:val="clear" w:fill="eeee80"/>
        </w:rPr>
        <w:t xml:space="preserve"> وأذرع التطويل والعوارض هي الأعمدة التي تمتد في وضع عمودي على السواري،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2026-10-19T06:41:17+00:00</dcterms:created>
  <dcterms:modified xsi:type="dcterms:W3CDTF">2026-10-19T06:41:17+00:00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