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t xml:space="preserve">تأثر روسو بفلاسفة كديكارت وهوبر، وانطلق من مبادئ عقلانية، مؤثراً بدوره في كانت وهيجل.  رغم وفاته قبل الثورة الفرنسية بعام، ارتبط اسمه بها. لم يدعُ لإلغاء الملكية، بل شدد على المساواة وحقوق المواطنين وتوافق الحقوق والواجبات. لكن دعوته للخروج على الحكم المطلق وسيادة الشعب تمثل ثورة فكرية هامة.</w:t>
      </w:r>
    </w:p>
    <w:sectPr>
      <w:footerReference w:type="default" r:id="rId7"/>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hyperlink r:id="rId1" w:history="1">
      <w:r>
        <w:t xml:space="preserve">Summarized by © lakhasly.com</w:t>
      </w:r>
    </w:hyperlink>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lakhasly.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2026-09-11T08:51:21+00:00</dcterms:created>
  <dcterms:modified xsi:type="dcterms:W3CDTF">2026-09-11T08:51:21+00:00</dcterms:modified>
</cp:coreProperties>
</file>

<file path=docProps/custom.xml><?xml version="1.0" encoding="utf-8"?>
<Properties xmlns="http://schemas.openxmlformats.org/officeDocument/2006/custom-properties" xmlns:vt="http://schemas.openxmlformats.org/officeDocument/2006/docPropsVTypes"/>
</file>