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Many people today appreciate brands that reflect their personal ideals.</w:t>
      </w:r>
    </w:p>
    <w:p>
      <w:pPr/>
      <w:r>
        <w:rPr>
          <w:shd w:val="clear" w:fill="eeee80"/>
        </w:rPr>
        <w:t xml:space="preserve">Nike has adopted cause marketing, promoting social and environmental concerns.</w:t>
      </w:r>
    </w:p>
    <w:p>
      <w:pPr/>
      <w:r>
        <w:rPr/>
        <w:t xml:space="preserve"> Their advertisements focus on inclusion, sustainability, and empowerment. </w:t>
      </w:r>
    </w:p>
    <w:p>
      <w:pPr/>
      <w:r>
        <w:rPr>
          <w:shd w:val="clear" w:fill="eeee80"/>
        </w:rPr>
        <w:t xml:space="preserve">By emphasizing these ideals, Nike hopes to appeal to socially aware consumers and distinguish itself from competitors while also making a good influence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2026-10-19T17:01:10+00:00</dcterms:created>
  <dcterms:modified xsi:type="dcterms:W3CDTF">2026-10-19T17:01:10+00:00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