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Background:  eating, or overeating in response to negative emotions, is a behavior endorsed by both normal weight and people with overweight/obesity.</w:t>
      </w:r>
    </w:p>
    <w:p>
      <w:pPr/>
      <w:r>
        <w:rPr>
          <w:shd w:val="clear" w:fill="eeee80"/>
        </w:rPr>
        <w:t xml:space="preserve">For some individuals, emotional eating contributes to weight gain and difficulties losing weight.</w:t>
      </w:r>
    </w:p>
    <w:p>
      <w:pPr/>
      <w:r>
        <w:rPr>
          <w:shd w:val="clear" w:fill="eeee80"/>
        </w:rPr>
        <w:t xml:space="preserve">However, there are also many who engage in emotional eating who maintain a normal weight.</w:t>
      </w:r>
    </w:p>
    <w:p>
      <w:pPr/>
      <w:r>
        <w:rPr>
          <w:shd w:val="clear" w:fill="eeee80"/>
        </w:rPr>
        <w:t xml:space="preserve">Little is known about the mechanisms by which these individuals are able to regulate their weight.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2026-10-10T13:56:23+00:00</dcterms:created>
  <dcterms:modified xsi:type="dcterms:W3CDTF">2026-10-10T13:56:23+00:00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