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شهادة الشهود: يمكن الاستعانة بشهادة الشهود لإثبات واقعة الزواج في حال عدم وجود عقد زواج رسمي .</w:t>
      </w:r>
    </w:p>
    <w:p>
      <w:pPr/>
      <w:r>
        <w:rPr>
          <w:shd w:val="clear" w:fill="eeee80"/>
        </w:rPr>
        <w:t xml:space="preserve"> فقد تعتبر هذه قرينة على يسره والتزامه بالنفقة.</w:t>
      </w:r>
    </w:p>
    <w:p>
      <w:pPr/>
      <w:r>
        <w:rPr/>
        <w:t xml:space="preserve"> • الإقرار: إذا أقر المدعى عليه أمام المحكمة بواقعة الزوجية أو البنوة أو القرابة الموجبة للنفقة،</w:t>
      </w:r>
    </w:p>
    <w:p>
      <w:pPr/>
      <w:r>
        <w:rPr>
          <w:shd w:val="clear" w:fill="eeee80"/>
        </w:rPr>
        <w:t xml:space="preserve"> • اليمين: في بعض الحالات التي لا يوجد فيها دليل قاطع،</w:t>
      </w:r>
    </w:p>
    <w:p>
      <w:pPr/>
      <w:r>
        <w:rPr/>
        <w:t xml:space="preserve"> قد يوجه القاضي اليمين الحاسمة لأحد الطرفين لحسم النزاع. ثانياً: إثبات دعوى النفقة في الشريعة الإسلامية (من منظور قضائي) : يستند القاضي في إثبات الحق إلى الأدلة الشرعية المقبولة،</w:t>
      </w:r>
    </w:p>
    <w:p>
      <w:pPr/>
      <w:r>
        <w:rPr>
          <w:shd w:val="clear" w:fill="eeee80"/>
        </w:rPr>
        <w:t xml:space="preserve"> • النفقة هي حق شرعي وقانوني يهدف إلى توفير الحاجات الأساسية للأشخاص الذين لا يستطيعون توفيرها بأنفسهم.</w:t>
      </w:r>
    </w:p>
    <w:p>
      <w:pPr/>
      <w:r>
        <w:rPr>
          <w:shd w:val="clear" w:fill="eeee80"/>
        </w:rPr>
        <w:t xml:space="preserve"> وعلى الأقارب تجاه بعضهم البعض في حالات معينة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2026-08-25T11:42:32+00:00</dcterms:created>
  <dcterms:modified xsi:type="dcterms:W3CDTF">2026-08-25T11:42:32+00:00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