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تحليل البنية المؤسسية من خلال فهم وتفكيك مكونات النظام السياسي وتحديد الأدوار المنوطة بكل من المؤسسات الرسمية والمدنية.</w:t>
      </w:r>
    </w:p>
    <w:p>
      <w:pPr/>
      <w:r>
        <w:rPr>
          <w:shd w:val="clear" w:fill="eeee80"/>
        </w:rPr>
        <w:t xml:space="preserve">3.	قياس كفاءة الأداء فيتم رصد أثر هذه المؤسسات في تطوير وظائف النظام الأساسية مثل (التنشئة،</w:t>
      </w:r>
    </w:p>
    <w:p>
      <w:pPr/>
      <w:r>
        <w:rPr>
          <w:shd w:val="clear" w:fill="eeee80"/>
        </w:rPr>
        <w:t xml:space="preserve"> والتواصل السياسي).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2026-11-07T07:54:08+00:00</dcterms:created>
  <dcterms:modified xsi:type="dcterms:W3CDTF">2026-11-07T07:54:08+00:00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