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المدعي يطالب بإلغاء قرار الجهة المدعى عليها السلبي بعدم إحالة ابنه للمحاكمة أو الإفراج عنه.  يُشير المدعي إلى أن ابنه محتجز منذ أربع سنوات دون أن يحال للمحاكمة.  مع امكانية التمديد في حالات معينة إلى ستة أشهر أو سنة في حالات قضايا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