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للتربية</w:t>
      </w:r>
    </w:p>
    <w:p>
      <w:pPr/>
      <w:r>
        <w:rPr>
          <w:shd w:val="clear" w:fill="eeee80"/>
        </w:rPr>
        <w:t xml:space="preserve">الرسم 7 نموذج كوات النمو (سوبر وهاركنس،</w:t>
      </w:r>
    </w:p>
    <w:p>
      <w:pPr/>
      <w:r>
        <w:rPr/>
        <w:t xml:space="preserve">في المعنى الشامل للعبارة.</w:t>
      </w:r>
    </w:p>
    <w:p>
      <w:pPr/>
      <w:r>
        <w:rPr>
          <w:shd w:val="clear" w:fill="eeee80"/>
        </w:rPr>
        <w:t xml:space="preserve"> تشمل كوّاتُ النمو</w:t>
      </w:r>
    </w:p>
    <w:p>
      <w:pPr/>
      <w:r>
        <w:rPr>
          <w:shd w:val="clear" w:fill="eeee80"/>
        </w:rPr>
        <w:t xml:space="preserve">مجموعة متغيرات الانتقال في النموذج البيئي الثقافي وبالتالي تكمن الفائدة من</w:t>
      </w:r>
    </w:p>
    <w:p>
      <w:pPr/>
      <w:r>
        <w:rPr>
          <w:shd w:val="clear" w:fill="eeee80"/>
        </w:rPr>
        <w:t xml:space="preserve">عرض مفهوم كوّات النمو في إطار هذا الكتاب في مسألة اعتباره مجموعة فرعية</w:t>
      </w:r>
    </w:p>
    <w:p>
      <w:pPr/>
      <w:r>
        <w:rPr>
          <w:shd w:val="clear" w:fill="eeee80"/>
        </w:rPr>
        <w:t xml:space="preserve">من النموذج البيئي الثقافي.</w:t>
      </w:r>
    </w:p>
    <w:p>
      <w:pPr/>
      <w:r>
        <w:rPr>
          <w:shd w:val="clear" w:fill="eeee80"/>
        </w:rPr>
        <w:t xml:space="preserve"> يقعُ النموذج البيئي الثقافي في المستوى البيئي العام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2026-10-18T01:27:43+00:00</dcterms:created>
  <dcterms:modified xsi:type="dcterms:W3CDTF">2026-10-18T01:27:43+00:00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