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مقارنة الأدوية الأفيونية وغير الأفيونية على مدى 12 شهرًا من حيث الوظيفة المرتبطة بالألم، التصميم والإعداد والمشاركون تجربة عملية عشوائية مدتها 12 شهرًا مع تقييم النتائج المقنَّعة. التدخلات اتبعت كل من التدخلات (العلاج بالأدوية الأفيونية وغير الأفيونية) استراتيجية العلاج حسب الهدف بهدف تحسين الألم والوظيفة.  وكان لكل تدخل استراتيجية وصف خاصة به تضمنت خيارات متعددة للأدوية في 3 خطوات.  وبالنسبة لمجموعة المواد غير الأفيونية،  كانت الخطوة الأولى هي الأسيتامينوفين (الباراسيتامول) أو دواء مضاد للالتهابات غير الستيرويدية.  بالنسبة لكلا مقياسي جرد الألم الموجز (المدى،  كانت النتيجة السلبية الأولية هي الأعراض المرتبطة بالأدوية (قائمة مراجعة المريض المبلغ عنها؛  لم تختلف المجموعات بشكل كبير في الوظيفة المرتبطة بالألم على مدار 12 شهرًا (قيمة P = 0. 3 لمجموعة المواد غير الأفيونية (الفرق 0.  كانت شدة الألم أفضل بشكل ملحوظ في مجموعة المواد غير الأفيونية على مدار 12 شهرًا (قيمة P = 0. 5 لمجموعة المواد غير الأفيونية (الفرق 0.  كانت الأعراض السلبية المرتبطة بالأدوية أكثر شيوعًا بشكل ملحوظ في مجموعة المواد الأفيونية على مدار 12 شهرًا (القيمة الاحتمالية الكلية = 0.  وكان متوسط ​​الأعراض المرتبطة بالأدوية في 12 شهرًا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