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إعطى النبي صلى اللّه عليه وسلم مثلا أعلى لمعاملة أهل الكتاب.</w:t>
      </w:r>
    </w:p>
    <w:p>
      <w:pPr/>
      <w:r>
        <w:rPr>
          <w:shd w:val="clear" w:fill="eeee80"/>
        </w:rPr>
        <w:t xml:space="preserve"> فقد روي أنه كان بحضر ولائمهم ويشيع جنائزهم ،</w:t>
      </w:r>
    </w:p>
    <w:p>
      <w:pPr/>
      <w:r>
        <w:rPr>
          <w:shd w:val="clear" w:fill="eeee80"/>
        </w:rPr>
        <w:t xml:space="preserve"> حتى راولي أنه لما زاره وفد نصارى نجران ،</w:t>
      </w:r>
    </w:p>
    <w:p>
      <w:pPr/>
      <w:r>
        <w:rPr>
          <w:shd w:val="clear" w:fill="eeee80"/>
        </w:rPr>
        <w:t xml:space="preserve"> وروي أنه كان يقترض من أهل الكتاب نقودًا وير هنهم أمتعته ،</w:t>
      </w:r>
    </w:p>
    <w:p>
      <w:pPr/>
      <w:r>
        <w:rPr>
          <w:shd w:val="clear" w:fill="eeee80"/>
        </w:rPr>
        <w:t xml:space="preserve"> حتى إنه تَوفي ودرعه مرهونة عند بعض يهود المدينة في دين عليه ،</w:t>
      </w:r>
    </w:p>
    <w:p>
      <w:pPr/>
      <w:r>
        <w:rPr>
          <w:shd w:val="clear" w:fill="eeee80"/>
        </w:rPr>
        <w:t xml:space="preserve"> ولم يخلص درعه إلا خلفاؤه بعد وفاته ماءكان يفعل ذلك لا عجزًا من أصحابه عن إقراضه ،</w:t>
      </w:r>
    </w:p>
    <w:p>
      <w:pPr/>
      <w:r>
        <w:rPr>
          <w:shd w:val="clear" w:fill="eeee80"/>
        </w:rPr>
        <w:t xml:space="preserve"> وهم المستعدون لأن يضحوا بأنفسهم وأموالهم في سبيل مرضاة نبيهم ،</w:t>
      </w:r>
    </w:p>
    <w:p>
      <w:pPr/>
      <w:r>
        <w:rPr>
          <w:shd w:val="clear" w:fill="eeee80"/>
        </w:rPr>
        <w:t xml:space="preserve"> بل كان النبي صلى اللّٰه عليه وسلم يفعل ذلك تعليمًا وإرشادًا لأمته.</w:t>
      </w:r>
    </w:p>
    <w:p>
      <w:pPr/>
      <w:r>
        <w:rPr>
          <w:shd w:val="clear" w:fill="eeee80"/>
        </w:rPr>
        <w:t xml:space="preserve"> إماءوقد سار لمسلمون على سيرة نبيهم ،</w:t>
      </w:r>
    </w:p>
    <w:p>
      <w:pPr/>
      <w:r>
        <w:rPr>
          <w:shd w:val="clear" w:fill="eeee80"/>
        </w:rPr>
        <w:t xml:space="preserve"> فعاشروا غيرهم من أهل الملل والنحل الأخرى بصفاء وونام ،</w:t>
      </w:r>
    </w:p>
    <w:p>
      <w:pPr/>
      <w:r>
        <w:rPr>
          <w:shd w:val="clear" w:fill="eeee80"/>
        </w:rPr>
        <w:t xml:space="preserve"> فكان المسيحي واليهودي يسكن بجوار المسلم فيتزاورون ويتهادون لا يفصلهم إلا المسجد والكنيسة والبيعة أماعروي أن غلاما لابن عباس الصحابي المشهور ذبح شاة فقال له الن عباس : لا تنس جارنا اليهودى ،</w:t>
      </w:r>
    </w:p>
    <w:p>
      <w:pPr/>
      <w:r>
        <w:rPr>
          <w:shd w:val="clear" w:fill="eeee80"/>
        </w:rPr>
        <w:t xml:space="preserve"> اله الغلام: كم تقول هذا! فقال : إن النبي صلى اللّٰه عليه وسلم قد أوصانا بالجار حتى خشينا أنه سيورته.</w:t>
      </w:r>
    </w:p>
    <w:p>
      <w:pPr/>
      <w:r>
        <w:rPr>
          <w:shd w:val="clear" w:fill="eeee80"/>
        </w:rPr>
        <w:t xml:space="preserve"> ومعنى هذا أن الإسلام لا يفرق في مكارم الأخلاق وحقوق الاجتماع بين مسلم وأي مخالف آخر.</w:t>
      </w:r>
    </w:p>
    <w:p>
      <w:pPr/>
      <w:r>
        <w:rPr>
          <w:shd w:val="clear" w:fill="eeee80"/>
        </w:rPr>
        <w:t xml:space="preserve"> ولهذا يقول الرسول صلى اللّٰه عليه وسلم : (تصدقوا على أهل الأديان كلها.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2026-08-22T06:11:46+00:00</dcterms:created>
  <dcterms:modified xsi:type="dcterms:W3CDTF">2026-08-22T06:11:46+00:00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