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8. المالية: يوضح هذا النشاط نمو الأرباح الذي شهدته BBB مع زيادة ثابتة بنسبة 10% في نمو الأرباح سنويًا على مدار خمس سنوات.</w:t>
      </w:r>
    </w:p>
    <w:p>
      <w:pPr/>
      <w:r>
        <w:rPr>
          <w:shd w:val="clear" w:fill="eeee80"/>
        </w:rPr>
        <w:t xml:space="preserve"> وهذا يدل على الاستقرار المالي ومسار النمو.</w:t>
      </w:r>
    </w:p>
    <w:p>
      <w:pPr/>
      <w:r>
        <w:rPr>
          <w:shd w:val="clear" w:fill="eeee80"/>
        </w:rPr>
        <w:t xml:space="preserve"> وهو المبلغ الذي تجنيه الشركة من بيع وحدات البناء،</w:t>
      </w:r>
    </w:p>
    <w:p>
      <w:pPr/>
      <w:r>
        <w:rPr>
          <w:shd w:val="clear" w:fill="eeee80"/>
        </w:rPr>
        <w:t xml:space="preserve"> كما يبين مدى الخسارة والكسر – حتى عندما تتطابق الأرباح مع الخسائر.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2026-10-21T09:12:31+00:00</dcterms:created>
  <dcterms:modified xsi:type="dcterms:W3CDTF">2026-10-21T09:12:31+00:00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