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طبيعة ا6ختصاصات المحلية وأساليب تحديدها اختصاصات الهيئات المحلية تنحصر في ادارة وتنظيم المرافق ذات الطبيعة المحلية</w:t>
      </w:r>
    </w:p>
    <w:p>
      <w:pPr/>
      <w:r>
        <w:rPr>
          <w:shd w:val="clear" w:fill="eeee80"/>
        </w:rPr>
        <w:t xml:space="preserve">اما المرافق العامة ذات الطبيعة القومية فتتولها الحكومة المركزية :معايير التفرقة بين المرافق المحلية و المرافق العامة القومية</w:t>
      </w:r>
    </w:p>
    <w:p>
      <w:pPr/>
      <w:r>
        <w:rPr>
          <w:shd w:val="clear" w:fill="eeee80"/>
        </w:rPr>
        <w:t xml:space="preserve">معيار الفائدة المباشرة معيار التكلفة معيار النمطية معيار ظروف الخدمة معيار الكفاءات الفنية المطلوبة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2026-10-20T13:50:15+00:00</dcterms:created>
  <dcterms:modified xsi:type="dcterms:W3CDTF">2026-10-20T13:50:15+00:00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