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Distress tolerance (DT) is an established construct contributing to the onset and maintenance of psychopathology in adulthood; however, few studies have examined the role of DT in older adolescent psychopathology.</w:t>
      </w:r>
    </w:p>
    <w:p>
      <w:pPr/>
      <w:r>
        <w:rPr/>
        <w:t xml:space="preserve"> Emerging data suggest that gender and race may influence this relation. Therefore, the current study examined the relation between gender, race, and DT on parent-reported internalizing and externalizing DSM-oriented symptoms among a community sample of 128, 14–18 year old adolescents. Results indicated a moderating effect of …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2026-10-25T14:04:46+00:00</dcterms:created>
  <dcterms:modified xsi:type="dcterms:W3CDTF">2026-10-25T14:04:46+00:00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