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المؤسسة العمومية ذات الطابع الإداري أو المؤسسة الإدارية هي كل مؤسسة غير صناعية وتجارية،</w:t>
      </w:r>
    </w:p>
    <w:p>
      <w:pPr/>
      <w:r>
        <w:rPr/>
        <w:t xml:space="preserve">وهي التي تتناول نشاطا لا يزاوله الأفراد عادة إما بسبب عجزهم عن ذلك أو لقلة أو إنعدام والأصل في عملها هو مبدأ المجانية إلا ما إستثني بنص.الطابع الصناعي والتجاري فهي مؤسسة تسير مرفق عاما صناعيا وتجاريا، تخضع في جزء كبير من</w:t>
      </w:r>
    </w:p>
    <w:p>
      <w:pPr/>
      <w:r>
        <w:rPr>
          <w:shd w:val="clear" w:fill="eeee80"/>
        </w:rPr>
        <w:t xml:space="preserve">نشاطها لقواعد القانون الخاص كما يمكن أن تخضع للقانون العام باعتبارها مؤسسة تابعة لشخص</w:t>
      </w:r>
    </w:p>
    <w:p>
      <w:pPr/>
      <w:r>
        <w:rPr>
          <w:shd w:val="clear" w:fill="eeee80"/>
        </w:rPr>
        <w:t xml:space="preserve">عام ومن أهم النقاط التي تتميز بها عن المؤسسة العمومية ذات الطابع الإداري تتمثل فيما يلي:</w:t>
      </w:r>
    </w:p>
    <w:p>
      <w:pPr/>
      <w:r>
        <w:rPr/>
        <w:t xml:space="preserve">أ من حيث المسؤولية فالمبدأ هو خضوعها لقواعد القانون الخاص،تكون له صفة ضرر الأشغال العامة.دائما عقود تخضع للقانون الخاص. 1 العقود مع مستعملي المرفق هي .ج- منازعات العمال تخضع لقانون علاقات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2026-10-08T15:50:59+00:00</dcterms:created>
  <dcterms:modified xsi:type="dcterms:W3CDTF">2026-10-08T15:50:59+00:00</dcterms:modified>
</cp:coreProperties>
</file>

<file path=docProps/custom.xml><?xml version="1.0" encoding="utf-8"?>
<Properties xmlns="http://schemas.openxmlformats.org/officeDocument/2006/custom-properties" xmlns:vt="http://schemas.openxmlformats.org/officeDocument/2006/docPropsVTypes"/>
</file>