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Defining Clear Vision and Goals:Challenge: How to communicate a compelling vision that aligns with organizational objectives?</w:t>
      </w:r>
    </w:p>
    <w:p>
      <w:pPr/>
      <w:r>
        <w:rPr/>
        <w:t xml:space="preserve">Key Question: What strategies can be implemented to ensure every team member understands and is committed to the organization's mission and goals?Balancing Top-Down and Bottom-Up Leadership:• Challenge: How to effectively integrate top-down strategic direction with bottom-up feedback and innovation?• Key Questions:o How much autonomy should be given to employees in decision-making processes?o How can leaders ensure that bottom-up suggestions align with top-down priorities?Managing Change and Uncertainty:• Challenge: How to lead teams through periods of change while maintaining morale and productivity?• Key Question: What change management principles should be applied to ensure smooth transitions?Resource Allocation and Optimization: • Challenge: How to allocate limited resources (time, budget, personnel) efficiently across various projects?• Key Question: How can project management tools and methodologies (e.g., Agile, Lean) be used to optimize resource utilization?Top-Down Strategy Implementation: • Challenge: Ensuring strategic directives are effectively communicated and implemented at all levels.• Key Questions:o What structures and processes need to be established to guarantee adherence to strategic plans?o How can leadership monitor progress and address deviations from the plan?Bottom-Up Innovation and Employee Empowerment: • Challenge: Encouraging innovation from the ground up without disrupting existing workflows.• Key Questions:o How can feedback loops be created to capture and incorporate employee insights into strategic decisions?o What systems can be established to recognize and reward bottom-up contributions?Project Management and Execution:• Challenge: How to manage multiple projects simultaneously while ensuring alignment with organizational strategy?• Key Question: Which project management principles (e.g., PMBOK, PRINCE2) should be leveraged to maintain project quality, timeframes, and stakeholder satisfaction?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2026-09-22T08:28:02+00:00</dcterms:created>
  <dcterms:modified xsi:type="dcterms:W3CDTF">2026-09-22T08:28:02+00:00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