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addition to the local building regulations, decisive for the design of theatres are the Places of Assembly Regulations of the relevant state.</w:t>
      </w:r>
    </w:p>
    <w:p>
      <w:pPr/>
      <w:r>
        <w:rPr>
          <w:shd w:val="clear" w:fill="eeee80"/>
        </w:rPr>
        <w:t xml:space="preserve">This is based on the Model Places of Assembly Regulations, which can vary in detail from those of a particular state!</w:t>
      </w:r>
    </w:p>
    <w:p>
      <w:pPr/>
      <w:r>
        <w:rPr/>
        <w:t xml:space="preserve"> This legislation applies from 200 spectators. It should be noted that it is not the actual number of seating or standing places that counts: it is assumed that there are two spectators per m2 in the place of assembly (for rows of seats; two spectators per running m for standing places).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2026-09-16T14:40:35+00:00</dcterms:created>
  <dcterms:modified xsi:type="dcterms:W3CDTF">2026-09-16T14:40:35+00:00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