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اعتنى المشرع الجزائري بحماية الروابط الأسرية بتجريمه السرقة التي تقع بين الأزواج أو بين الأصول والفروع،</w:t>
      </w:r>
    </w:p>
    <w:p>
      <w:pPr/>
      <w:r>
        <w:rPr>
          <w:shd w:val="clear" w:fill="eeee80"/>
        </w:rPr>
        <w:t xml:space="preserve"> وقد عالجها معالجة تختلف عن السرقة العادية أي التي ترتكب خارج الوسط العائلي.</w:t>
      </w:r>
    </w:p>
    <w:p>
      <w:pPr/>
      <w:r>
        <w:rPr>
          <w:shd w:val="clear" w:fill="eeee80"/>
        </w:rPr>
        <w:t xml:space="preserve"> ولعل المشرع الجزائري بهذا التوجه يسعى إلى الحفاظ على سمعة الأسرة وحماية الصلات العائلية وأسرار الأسرة،</w:t>
      </w:r>
    </w:p>
    <w:p>
      <w:pPr/>
      <w:r>
        <w:rPr>
          <w:shd w:val="clear" w:fill="eeee80"/>
        </w:rPr>
        <w:t xml:space="preserve"> لذلك غلب الطابع الشخصي للجريمة على مصلحة المجتمع في توقيع العقاب على الجاني وخير المجني عليه بين تحريك الدعوى الجنائية وعدم تحريكها،</w:t>
      </w:r>
    </w:p>
    <w:p>
      <w:pPr/>
      <w:r>
        <w:rPr>
          <w:shd w:val="clear" w:fill="eeee80"/>
        </w:rPr>
        <w:t xml:space="preserve"> هذا وإذا كانت القرابة تشكل قيدا على تحريك</w:t>
      </w:r>
    </w:p>
    <w:p>
      <w:pPr/>
      <w:r>
        <w:rPr>
          <w:shd w:val="clear" w:fill="eeee80"/>
        </w:rPr>
        <w:t xml:space="preserve">الدعوى العمومية فقد تكون مانعا من موانع العقاب.</w:t>
      </w:r>
    </w:p>
    <w:p>
      <w:pPr/>
      <w:r>
        <w:rPr>
          <w:shd w:val="clear" w:fill="eeee80"/>
        </w:rPr>
        <w:t xml:space="preserve">هذا ما يجعلنا نطرح الإشكال التالي: ما مدى فعالية السياسة الجنائية المتبعة من طرف المشرع الجزائري في حماية الأسرة بجعل القرابة كقيد على المتابعة الجزائية و مانع من العقاب في جريمة السرقة ؟ وهل</w:t>
      </w:r>
    </w:p>
    <w:p>
      <w:pPr/>
      <w:r>
        <w:rPr/>
        <w:t xml:space="preserve">استطاع تحقيق الحكمة المتوخاة من طرفه بهذا الشأن؟.</w:t>
      </w:r>
    </w:p>
    <w:p>
      <w:pPr/>
      <w:r>
        <w:rPr>
          <w:shd w:val="clear" w:fill="eeee80"/>
        </w:rPr>
        <w:t xml:space="preserve">وللإجابة عن هذه الإشكالية سوف تخصص المبحث الأول خصوصية المتابعة الجزائية في جريمة السرقة</w:t>
      </w:r>
    </w:p>
    <w:p>
      <w:pPr/>
      <w:r>
        <w:rPr>
          <w:shd w:val="clear" w:fill="eeee80"/>
        </w:rPr>
        <w:t xml:space="preserve"> و في المبحث الثاني الحصانة العائلية في جريمة السرقة بين الأقارب.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2026-10-13T01:51:31+00:00</dcterms:created>
  <dcterms:modified xsi:type="dcterms:W3CDTF">2026-10-13T01:51:31+00:00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