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وما ترتب على ذلك من تلك النظرة المتعالية التي ينظر بها أصحاب العلوم الأولى إلى أصحاب العلوم الثانية.</w:t>
      </w:r>
    </w:p>
    <w:p>
      <w:pPr/>
      <w:r>
        <w:rPr/>
        <w:t xml:space="preserve">وقد كانت الأهمية العلمية العلم مرتبطة في بدايتها بالحرب فقد حصل كل من جاليليو" وليوناردو على وظيفة حكومية،</w:t>
      </w:r>
    </w:p>
    <w:p>
      <w:pPr/>
      <w:r>
        <w:rPr>
          <w:shd w:val="clear" w:fill="eeee80"/>
        </w:rPr>
        <w:t xml:space="preserve"> وذلك للعمل على تحسين المدفعية وإقامة التحصينات العربية،</w:t>
      </w:r>
    </w:p>
    <w:p>
      <w:pPr/>
      <w:r>
        <w:rPr/>
        <w:t xml:space="preserve"> ومنذ زمانهما فساعة أصبح دور رجال العلم في الحرب يزداد خطورة يوما بعد يوم، فاتضح بعد ذلك تطور الإنتاج الآلي،</w:t>
      </w:r>
    </w:p>
    <w:p>
      <w:pPr/>
      <w:r>
        <w:rPr>
          <w:shd w:val="clear" w:fill="eeee80"/>
        </w:rPr>
        <w:t xml:space="preserve"> وتطبيع الناس على استخدام مصادر الطاقة البخار ثم الكهرباء،</w:t>
      </w:r>
    </w:p>
    <w:p>
      <w:pPr/>
      <w:r>
        <w:rPr/>
        <w:t xml:space="preserve"> ولكن لم يكن لهم تأثرهم السياسي الملحوظ حتى قرب نهايةالقرن التاسع عشر.ثانيا: لا شك في أن التخلص من السلطة الدينية الكنيسية، وظهور السلطة العلمية ارتبط بنزعة إلى التحرر،</w:t>
      </w:r>
    </w:p>
    <w:p>
      <w:pPr/>
      <w:r>
        <w:rPr>
          <w:shd w:val="clear" w:fill="eeee80"/>
        </w:rPr>
        <w:t xml:space="preserve"> وشعور الإنسان بفرديته واستقلاله عن الآخرين</w:t>
      </w:r>
    </w:p>
    <w:p>
      <w:pPr/>
      <w:r>
        <w:rPr>
          <w:shd w:val="clear" w:fill="eeee80"/>
        </w:rPr>
        <w:t xml:space="preserve">وكان من أثر ذلك أن كثير من الاتجاهات الفكرية والتصفية كانت - فيما برى بعض المؤرخين الفكر من أمثال برتراند رسل أن الشفة المعاصر كانت ذاتية في طابعها العالم،</w:t>
      </w:r>
    </w:p>
    <w:p>
      <w:pPr/>
      <w:r>
        <w:rPr/>
        <w:t xml:space="preserve"> لأن النزعة التحريرية أنت إلى نمو العربية فظهرت معظم الفلسفات في القرنين السابع عشر والثامن عشر على صورة اتجاهات ذاتية أو فردية،</w:t>
      </w:r>
    </w:p>
    <w:p>
      <w:pPr/>
      <w:r>
        <w:rPr>
          <w:shd w:val="clear" w:fill="eeee80"/>
        </w:rPr>
        <w:t xml:space="preserve"> ويمكن أن تلاحظ ذلك بوضوح عند بيكارت الذي أقام المعرفة برمتها على يقين وجوده الشخصي،</w:t>
      </w:r>
    </w:p>
    <w:p>
      <w:pPr/>
      <w:r>
        <w:rPr>
          <w:shd w:val="clear" w:fill="eeee80"/>
        </w:rPr>
        <w:t xml:space="preserve"> وسلم بالوضوح والتميز وهما أمران ذاتيان بوصفهما محكين الصدق،</w:t>
      </w:r>
    </w:p>
    <w:p>
      <w:pPr/>
      <w:r>
        <w:rPr/>
        <w:t xml:space="preserve"> كما ظهر تلك أيضا عند مينتز في الراته الروحية المطلقة على ذاتها،</w:t>
      </w:r>
    </w:p>
    <w:p>
      <w:pPr/>
      <w:r>
        <w:rPr>
          <w:shd w:val="clear" w:fill="eeee80"/>
        </w:rPr>
        <w:t xml:space="preserve"> وكان كل من كانط واشته ذكيا في مزاجه،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2026-09-11T01:56:02+00:00</dcterms:created>
  <dcterms:modified xsi:type="dcterms:W3CDTF">2026-09-11T01:56:02+00:00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