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القانون المدني ينقسم   " أحوال شخصية " "    " و قواعد أحوال عينية" "   "   أو معاملات "</w:t>
      </w:r>
    </w:p>
    <w:p>
      <w:pPr/>
      <w:r>
        <w:rPr>
          <w:shd w:val="clear" w:fill="eeee80"/>
        </w:rPr>
        <w:t xml:space="preserve">ـ المشرع الجزائري في القانون المدني ترك تنظيم الأحوال الشخصية لقانون الأسرة   (قانون رقم المؤرخ 1984 11/84.</w:t>
      </w:r>
    </w:p>
    <w:p>
      <w:pPr/>
      <w:r>
        <w:rPr>
          <w:shd w:val="clear" w:fill="eeee80"/>
        </w:rPr>
        <w:t xml:space="preserve">ـ الحقوق التي تنظمها قواعد المعاملات إما " عينية "  " "        " و إما " شخصية " "   </w:t>
      </w:r>
    </w:p>
    <w:p>
      <w:pPr/>
      <w:r>
        <w:rPr>
          <w:shd w:val="clear" w:fill="eeee80"/>
        </w:rPr>
        <w:t xml:space="preserve">ـ التعريف بالحق العيني: هو سلطة لشخص (صاحب الحق )  على شيء معين بالذات (محل الحق)</w:t>
      </w:r>
    </w:p>
    <w:p>
      <w:pPr/>
      <w:r>
        <w:rPr>
          <w:shd w:val="clear" w:fill="eeee80"/>
        </w:rPr>
        <w:t xml:space="preserve"> ـ التعريف بالحق الشخص (أو الالتزام) : هو سلطة لشخص آخر (دائن- ومدين) تخول الدائن أن يطالب المدين بإعطاء شيء( مبلغ مالي ) أو بالقيام بعمل (بناء منزل) أو بالامتناع عن عمل</w:t>
      </w:r>
    </w:p>
    <w:p>
      <w:pPr/>
      <w:r>
        <w:rPr/>
        <w:t xml:space="preserve">ـ تعريف الالتزام : هو سلطة لشخص على آخر محلها القيام بعمل القيام بعمل أوالإمتناع عن عمل ذي قيمة مالية أو أدبية،بمقتضاها يلتزم شخص نحو شخص آخر موجود أو سيوجد.</w:t>
      </w:r>
    </w:p>
    <w:p>
      <w:pPr/>
      <w:r>
        <w:rPr>
          <w:shd w:val="clear" w:fill="eeee80"/>
        </w:rPr>
        <w:t xml:space="preserve">  - مــــصــــــادر الالتزام -</w:t>
      </w:r>
    </w:p>
    <w:p>
      <w:pPr/>
      <w:r>
        <w:rPr>
          <w:shd w:val="clear" w:fill="eeee80"/>
        </w:rPr>
        <w:t xml:space="preserve">-تعريف : مصدر الالتزام هو "السبب"  " المولد للالتزام".</w:t>
      </w:r>
    </w:p>
    <w:p>
      <w:pPr/>
      <w:r>
        <w:rPr>
          <w:shd w:val="clear" w:fill="eeee80"/>
        </w:rPr>
        <w:t xml:space="preserve">-مصادر الالتزام في القانون المدني الجزائري :</w:t>
      </w:r>
    </w:p>
    <w:p>
      <w:pPr/>
      <w:r>
        <w:rPr>
          <w:shd w:val="clear" w:fill="eeee80"/>
        </w:rPr>
        <w:t xml:space="preserve">   رتب المشرع الجزائري مصادر الالتزام إلى أربعة مصادر  هي :</w:t>
      </w:r>
    </w:p>
    <w:p>
      <w:pPr/>
      <w:r>
        <w:rPr>
          <w:shd w:val="clear" w:fill="eeee80"/>
        </w:rPr>
        <w:t xml:space="preserve">الفصل الأول : القانون</w:t>
      </w:r>
    </w:p>
    <w:p>
      <w:pPr/>
      <w:r>
        <w:rPr>
          <w:shd w:val="clear" w:fill="eeee80"/>
        </w:rPr>
        <w:t xml:space="preserve">الفصل الثاني : العقد</w:t>
      </w:r>
    </w:p>
    <w:p>
      <w:pPr/>
      <w:r>
        <w:rPr>
          <w:shd w:val="clear" w:fill="eeee80"/>
        </w:rPr>
        <w:t xml:space="preserve">الفصل الثالث : العمل المستحق للتعويض</w:t>
      </w:r>
    </w:p>
    <w:p>
      <w:pPr/>
      <w:r>
        <w:rPr>
          <w:shd w:val="clear" w:fill="eeee80"/>
        </w:rPr>
        <w:t xml:space="preserve">الفصل الرابع : شبه العقود (- الإثراء بلا سبب- الدفع الغير مستحق - الفضالة)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2026-10-11T12:16:53+00:00</dcterms:created>
  <dcterms:modified xsi:type="dcterms:W3CDTF">2026-10-11T12:16:53+00:00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