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تحليل النظام القانوني للمرافق العامة،</w:t>
      </w:r>
    </w:p>
    <w:p>
      <w:pPr/>
      <w:r>
        <w:rPr>
          <w:shd w:val="clear" w:fill="eeee80"/>
        </w:rPr>
        <w:t xml:space="preserve"> يميز فقهاء القانون الإداري بين المرافق العامة ذات الطبيعة الإدارية،</w:t>
      </w:r>
    </w:p>
    <w:p>
      <w:pPr/>
      <w:r>
        <w:rPr>
          <w:shd w:val="clear" w:fill="eeee80"/>
        </w:rPr>
        <w:t xml:space="preserve"> أي تلك المرافق العامة التقليدية التي تحمل في الواقع وضع المرفق العام والتي يصفها فقهاء القانون الإداري عادة بأنها " "المرافق العامة المحضة"،</w:t>
      </w:r>
    </w:p>
    <w:p>
      <w:pPr/>
      <w:r>
        <w:rPr/>
        <w:t xml:space="preserve"> والمرافق العامة ذات الطبيعة الصناعية والتجارية، ويعد هذا التمييز أحد مظاهر تراجع نظرية المنفعة العامة بسبب التطورات التي حدثت نتيجة الأزمة الاقتصادية التي أدت إلى لظهور نوع جديد من المرافق العامة. والسؤال هو ما إذا كان من المفترض أن يخضع للقانون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2026-10-20T13:51:19+00:00</dcterms:created>
  <dcterms:modified xsi:type="dcterms:W3CDTF">2026-10-20T13:51:19+00:00</dcterms:modified>
</cp:coreProperties>
</file>

<file path=docProps/custom.xml><?xml version="1.0" encoding="utf-8"?>
<Properties xmlns="http://schemas.openxmlformats.org/officeDocument/2006/custom-properties" xmlns:vt="http://schemas.openxmlformats.org/officeDocument/2006/docPropsVTypes"/>
</file>