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بعقوبة جزائية وذو العاهتين.</w:t>
      </w:r>
    </w:p>
    <w:p>
      <w:pPr/>
      <w:r>
        <w:rPr>
          <w:shd w:val="clear" w:fill="eeee80"/>
        </w:rPr>
        <w:t xml:space="preserve">1: الغائب</w:t>
      </w:r>
    </w:p>
    <w:p>
      <w:pPr/>
      <w:r>
        <w:rPr>
          <w:shd w:val="clear" w:fill="eeee80"/>
        </w:rPr>
        <w:t xml:space="preserve"> من مماته 138 .</w:t>
      </w:r>
    </w:p>
    <w:p>
      <w:pPr/>
      <w:r>
        <w:rPr>
          <w:shd w:val="clear" w:fill="eeee80"/>
        </w:rPr>
        <w:t xml:space="preserve">خص المشرع الشخص دو</w:t>
      </w:r>
    </w:p>
    <w:p>
      <w:pPr/>
      <w:r>
        <w:rPr>
          <w:shd w:val="clear" w:fill="eeee80"/>
        </w:rPr>
        <w:t xml:space="preserve">منه على أنه : " إذا كان الشخص</w:t>
      </w:r>
    </w:p>
    <w:p>
      <w:pPr/>
      <w:r>
        <w:rPr>
          <w:shd w:val="clear" w:fill="eeee80"/>
        </w:rPr>
        <w:t xml:space="preserve">تلك العامة التعبير عن إرادته.</w:t>
      </w:r>
    </w:p>
    <w:p>
      <w:pPr/>
      <w:r>
        <w:rPr>
          <w:shd w:val="clear" w:fill="eeee80"/>
        </w:rPr>
        <w:t xml:space="preserve">المفقود بعد مرور سنة من الغياب طبقا للمادة 110 من تقنين الأسرة التي تنص على أنه " العالم ظروف قاهرة من الرجوع إلى محل إقامته أو إدارة شؤونه بنفسه أو بواسطة منذ</w:t>
      </w:r>
    </w:p>
    <w:p>
      <w:pPr/>
      <w:r>
        <w:rPr>
          <w:shd w:val="clear" w:fill="eeee80"/>
        </w:rPr>
        <w:t xml:space="preserve">الذي منعته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2026-10-08T17:26:30+00:00</dcterms:created>
  <dcterms:modified xsi:type="dcterms:W3CDTF">2026-10-08T17:26:30+00:00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