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وقد تم تطبيق هذه المبادئ منذ صدر هذه الحضارة التي ننتمي إليها ونعتز بها،</w:t>
      </w:r>
    </w:p>
    <w:p>
      <w:pPr/>
      <w:r>
        <w:rPr>
          <w:shd w:val="clear" w:fill="eeee80"/>
        </w:rPr>
        <w:t xml:space="preserve"> ومن الأمثلة البينة الدلالة على ذلك،</w:t>
      </w:r>
    </w:p>
    <w:p>
      <w:pPr/>
      <w:r>
        <w:rPr>
          <w:shd w:val="clear" w:fill="eeee80"/>
        </w:rPr>
        <w:t xml:space="preserve"> ضمانها أن للمرضى حق الرعاية على المجتمع ممثلاً في في الدولة،</w:t>
      </w:r>
    </w:p>
    <w:p>
      <w:pPr/>
      <w:r>
        <w:rPr/>
        <w:t xml:space="preserve"> ومن ذلك ما ذكره البلاذري في «فتوح البلدان»: «أن عمر رضي الله عنه مر عند مقدمه الجابية من أرض دمشق على قوم مجدمين lepers من النصارى،</w:t>
      </w:r>
    </w:p>
    <w:p>
      <w:pPr/>
      <w:r>
        <w:rPr>
          <w:shd w:val="clear" w:fill="eeee80"/>
        </w:rPr>
        <w:t xml:space="preserve"> وضمانها لكل طفل حق الرعاية على المجتمع ممثلاً في الدولة؛</w:t>
      </w:r>
    </w:p>
    <w:p>
      <w:pPr/>
      <w:r>
        <w:rPr/>
        <w:t xml:space="preserve"> كالذي ورد في ( طبقات ابن سعد : أن رضي الله عنه كان يفرض للمنفوس [الوليد مئة درهم،</w:t>
      </w:r>
    </w:p>
    <w:p>
      <w:pPr/>
      <w:r>
        <w:rPr>
          <w:shd w:val="clear" w:fill="eeee80"/>
        </w:rPr>
        <w:t xml:space="preserve"> فإذا ترعرع بلغ به مئتي درهم،</w:t>
      </w:r>
    </w:p>
    <w:p>
      <w:pPr/>
      <w:r>
        <w:rPr/>
        <w:t xml:space="preserve"> وكان إذا أتي باللقيط فرض له مئة درهم،</w:t>
      </w:r>
    </w:p>
    <w:p>
      <w:pPr/>
      <w:r>
        <w:rPr>
          <w:shd w:val="clear" w:fill="eeee80"/>
        </w:rPr>
        <w:t xml:space="preserve"> وفرض له رزقاً يأخذه وليه كل شهر بما يصلحه،</w:t>
      </w:r>
    </w:p>
    <w:p>
      <w:pPr/>
      <w:r>
        <w:rPr>
          <w:shd w:val="clear" w:fill="eeee80"/>
        </w:rPr>
        <w:t xml:space="preserve"> وكان يوصي بهم خيرا ويجعل نفقتهم ورضاعهم من بيت المال»،</w:t>
      </w:r>
    </w:p>
    <w:p>
      <w:pPr/>
      <w:r>
        <w:rPr/>
        <w:t xml:space="preserve"> وضمانها للضعيف والمعوق والمسن حق الرعاية على المجتمع ممثلاً في الدولة؛</w:t>
      </w:r>
    </w:p>
    <w:p>
      <w:pPr/>
      <w:r>
        <w:rPr>
          <w:shd w:val="clear" w:fill="eeee80"/>
        </w:rPr>
        <w:t xml:space="preserve"> كما ورد في عقد الذمة بين خالد بن الوليد رضي الله عنه وبين أهل الحيرة: « وجعلت لهم: أيما شيخ ضعف عن العمل أو أصابته آفة من الآفات،</w:t>
      </w:r>
    </w:p>
    <w:p>
      <w:pPr/>
      <w:r>
        <w:rPr/>
        <w:t xml:space="preserve"> طرحت جزيته [يعني أعفي من الضرائب،</w:t>
      </w:r>
    </w:p>
    <w:p>
      <w:pPr/>
      <w:r>
        <w:rPr>
          <w:shd w:val="clear" w:fill="eeee80"/>
        </w:rPr>
        <w:t xml:space="preserve"> وعيل من بيت مال المسلمين وعياله ما أقام بدار الهجرة ودار الإسلام أي في الدولة الإسلامية».</w:t>
      </w:r>
    </w:p>
    <w:p>
      <w:pPr/>
      <w:r>
        <w:rPr>
          <w:shd w:val="clear" w:fill="eeee80"/>
        </w:rPr>
        <w:t xml:space="preserve"> ذكره الإمام أبو يوسف في كتاب «الخراج».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2026-10-09T02:24:27+00:00</dcterms:created>
  <dcterms:modified xsi:type="dcterms:W3CDTF">2026-10-09T02:24:27+00:00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