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وتركز الدراسة الاستقصائية على الأدبيات التجريبية المتعلقة باستخدام حقوق الملكية الفكرية وإدارتها.</w:t>
      </w:r>
    </w:p>
    <w:p>
      <w:pPr/>
      <w:r>
        <w:rPr>
          <w:shd w:val="clear" w:fill="eeee80"/>
        </w:rPr>
        <w:t xml:space="preserve"> وهو يلقي نظرة عامة على التغييرات السياسية المتعلقة بحماية الملكية الفكرية في الولايات المتحدة والتي أدت،</w:t>
      </w:r>
    </w:p>
    <w:p>
      <w:pPr/>
      <w:r>
        <w:rPr>
          <w:shd w:val="clear" w:fill="eeee80"/>
        </w:rPr>
        <w:t xml:space="preserve"> إلى عصر صديق لبراءات الاختراع في الولايات المتحدة.</w:t>
      </w:r>
    </w:p>
    <w:p>
      <w:pPr/>
      <w:r>
        <w:rPr>
          <w:shd w:val="clear" w:fill="eeee80"/>
        </w:rPr>
        <w:t xml:space="preserve"> ثم ينظر في استخدام حقوق الملكية الفكرية واستراتيجياتها في الولايات المتحدة وكندا والاتحاد الأوروبي واليابان وأستراليا وفي حماية الملكية الفكرية في مجموعات صناعية محددة.</w:t>
      </w:r>
    </w:p>
    <w:p>
      <w:pPr/>
      <w:r>
        <w:rPr>
          <w:shd w:val="clear" w:fill="eeee80"/>
        </w:rPr>
        <w:t xml:space="preserve"> كما تم استعراض العلاقة بين استخدام حقوق الملكية الفكرية وحجم الشركة وملكيتها (وطنية مقابل متعددة الجنسيات).</w:t>
      </w:r>
    </w:p>
    <w:p>
      <w:pPr/>
      <w:r>
        <w:rPr>
          <w:shd w:val="clear" w:fill="eeee80"/>
        </w:rPr>
        <w:t xml:space="preserve">وتبين مقالات عديدة أن إدارة الأصول المعرفية بشكل عام وحقوق الملكية الفكرية بشكل خاص تزداد أهمية.</w:t>
      </w:r>
    </w:p>
    <w:p>
      <w:pPr/>
      <w:r>
        <w:rPr>
          <w:shd w:val="clear" w:fill="eeee80"/>
        </w:rPr>
        <w:t xml:space="preserve"> وتتحدد قيمة الشركات في الأنشطة كثيفة المعرفة بقيمة ملكيتها الفكرية.</w:t>
      </w:r>
    </w:p>
    <w:p>
      <w:pPr/>
      <w:r>
        <w:rPr>
          <w:shd w:val="clear" w:fill="eeee80"/>
        </w:rPr>
        <w:t xml:space="preserve"> تستخدم الملكية الفكرية كأصل مالي.</w:t>
      </w:r>
    </w:p>
    <w:p>
      <w:pPr/>
      <w:r>
        <w:rPr>
          <w:shd w:val="clear" w:fill="eeee80"/>
        </w:rPr>
        <w:t xml:space="preserve"> وتخصص الشركات المزيد من الموارد البشرية لإدارة حقوق الملكية الفكرية وتدريبها،</w:t>
      </w:r>
    </w:p>
    <w:p>
      <w:pPr/>
      <w:r>
        <w:rPr>
          <w:shd w:val="clear" w:fill="eeee80"/>
        </w:rPr>
        <w:t xml:space="preserve"> ولكن لا تزال هناك اختلافات دولية هامة.</w:t>
      </w:r>
    </w:p>
    <w:p>
      <w:pPr/>
      <w:r>
        <w:rPr>
          <w:shd w:val="clear" w:fill="eeee80"/>
        </w:rPr>
        <w:t xml:space="preserve"> وتستعرض الأدبيات الحديثة بشأن أثر الملكية الفكرية على قيمة الشركة وتقييمها وتقييمها ومحاسبتها وإدارتها.</w:t>
      </w:r>
    </w:p>
    <w:p>
      <w:pPr/>
      <w:r>
        <w:rPr>
          <w:shd w:val="clear" w:fill="eeee80"/>
        </w:rPr>
        <w:t xml:space="preserve"> ويتناول القسم الأخير من الورقة إنفاذ حقوق الملكية الفكرية والتعدي وتسوية المنازعات.</w:t>
      </w:r>
    </w:p>
    <w:p>
      <w:pPr/>
      <w:r>
        <w:rPr>
          <w:shd w:val="clear" w:fill="eeee80"/>
        </w:rPr>
        <w:t xml:space="preserve"> ويولى اهتمام خاص لتعدي الملكية الفكرية على الإنترنت والحواسيب وللتأمين كحماية للتكاليف القانونية.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2026-10-12T07:50:26+00:00</dcterms:created>
  <dcterms:modified xsi:type="dcterms:W3CDTF">2026-10-12T07:50:26+00:00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