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 هذا الجهاز يعمل على تقليل التشويش الصوتي وتحسين نسبة وضوح كلام المعلم فهذا سيسهل على محمد تلقي الأصوات اللغوية بوضوح،  وقد تم اختياره هذا الجهاز تحديدا لأنه يعالج التحديات التي ظهرت في TMA1 مثل صعوبة المتابعة اللفظية وضعف التمييز السمعي لدى الأطفال زارعي القوقعة.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2026-09-21T04:10:26+00:00</dcterms:created>
  <dcterms:modified xsi:type="dcterms:W3CDTF">2026-09-21T04:10:26+00:00</dcterms:modified>
</cp:coreProperties>
</file>

<file path=docProps/custom.xml><?xml version="1.0" encoding="utf-8"?>
<Properties xmlns="http://schemas.openxmlformats.org/officeDocument/2006/custom-properties" xmlns:vt="http://schemas.openxmlformats.org/officeDocument/2006/docPropsVTypes"/>
</file>