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الفوائد:تحديد الأولويات بذكاء: يساعد المحللين في التركيز على المؤشرات التي تُحدث أكبر ألم للمهاجم (مثل TTPs بدلاً من تجزئة الملفات).تفكير موجه ضد الخصم: يحول نهج الدفاع من مجرد مراقبة مؤشرات تقنية إلى فهم سلوك الخصم وتحركاته.</w:t>
      </w:r>
    </w:p>
    <w:p>
      <w:pPr/>
      <w:r>
        <w:rPr>
          <w:shd w:val="clear" w:fill="eeee80"/>
        </w:rPr>
        <w:t xml:space="preserve">إطار لصيد التهديدات: يوفر خريطة للمحققين لاتباع نهج الكشف المستدام وطويل الأمد.</w:t>
      </w:r>
    </w:p>
    <w:p>
      <w:pPr/>
      <w:r>
        <w:rPr/>
        <w:t xml:space="preserve">تحسين استخدام الموارد: يوجه الجهود نحو الكشف عن المؤشرات الأعلى قيمةً،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2026-08-22T15:18:57+00:00</dcterms:created>
  <dcterms:modified xsi:type="dcterms:W3CDTF">2026-08-22T15:18:57+00:00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