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يلعـب الـرياديون في المنظمات الصغیرة والمتوسطة دوراً مھماً في االقتصاد الحـديث فـي جـمـیـع الاقطار بسبب المرونة والقدرة على الابداع التي تتمتع تكلفة فرص العمل فیھا تقل عن متوسط تكلفة العمل في المنظمات الكبیرة وتالحظ أن معدل كثافة رأس المـال للعامل الواحد ما يقارب (1100) دينار عامل  أي أن تكلفة فرصة العمل في المنظمات الكبیرة ھي عشرة أضعاف التكلفة في المنظمات الصغیرة،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