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أبسط نهج هو استخدام الإنترنت كوسيلة لاستبدال فان باستخدام حزمة EDI المتاحة تجاريا على الإنترنت.</w:t>
      </w:r>
    </w:p>
    <w:p>
      <w:pPr/>
      <w:r>
        <w:rPr>
          <w:shd w:val="clear" w:fill="eeee80"/>
        </w:rPr>
        <w:t xml:space="preserve"> وتضيع فرصة استخدام قدرات الوسائط المتعددة على شبكة الإنترنت إذا تم تطبيق استراتيجية استبدال خالصة.</w:t>
      </w:r>
    </w:p>
    <w:p>
      <w:pPr/>
      <w:r>
        <w:rPr/>
        <w:t xml:space="preserve"> تخلق قدرة الوسائط المتعددة للإنترنت فرصة للتطبيقات الجديدة التي تنتج نوعا مختلفا نوعيا من تبادل المعلومات في إطار الشراكة.</w:t>
      </w:r>
    </w:p>
    <w:p>
      <w:pPr/>
      <w:r>
        <w:rPr>
          <w:shd w:val="clear" w:fill="eeee80"/>
        </w:rPr>
        <w:t xml:space="preserve"> بمجرد إضافة قدرة الوسائط المتعددة إلى معادلة تبادل المعلومات،</w:t>
      </w:r>
    </w:p>
    <w:p>
      <w:pPr/>
      <w:r>
        <w:rPr/>
        <w:t xml:space="preserve"> يمكن تطوير فئة جديدة من التطبيقات (على سبيل المثال، تثقيف الشريك الآخر بشأن إجراءات الشراء الخاصة بالشركة).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2026-10-14T19:40:10+00:00</dcterms:created>
  <dcterms:modified xsi:type="dcterms:W3CDTF">2026-10-14T19:40:10+00:00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