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أهمية ريادة الأعمال الرقمية في جذب عملاء أكثر بسهولة الاتصال عبر الإنترنت، والحفاظ على القدرة التنافسية عبر التسويق الإلكتروني، وتعظيم قيمة الموقع الإلكتروني لجذب العملاء وتحقيق مبيعات عالية، بالإضافة لانخفاض التكاليف وتوفير تغذية راجعة فورية من العملاء.  أما مقوماتها، فتشمل: قاعدة معلومات رقمية وسوق تكنولوجيا المعلومات والاتصالات لدعم الابتكار والتجارة الإلكترونية، وبيئة أعمال رقمية عبر شبكات التواصل الاجتماعي وبيئة تنظيمية داعمة، وأخيرًا، التمويل للحصول على الخدمات المالية اللازمة، مع ضرورة إدارة التمويل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