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الاستقلال مباشرة، وكإجراء سيادي، تم إنشاء البنك المركزي الجزائري في 13 ديسمبر 1962 12 إلا أن ذلك لم يكن كافيا ، حيث ورثت الجزائر بعد الاستقلال نظاما اقتصاديا تابعا للاقتصاد الفرنسي، والأمر ذاته بالنسبة للنظام البنكي،التجارية العاملة عبارة عن فروع للبنوك الأم الموجودة في فرنسا. " و هكذا ظهر النظام المصرفي الجزائري في ظروف صعبة،للمتطلبات الواسعة للاقتصاد الوطني في تلك الفترة. ونظرا لضخامة الاستثمارات التي عرفتها الجزائر في تلك المرحلة ،</w:t>
      </w:r>
    </w:p>
    <w:p>
      <w:pPr/>
      <w:r>
        <w:rPr>
          <w:shd w:val="clear" w:fill="eeee80"/>
        </w:rPr>
        <w:t xml:space="preserve">على تمويل المشاريع متوسطة و قصيرة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2026-10-14T17:35:47+00:00</dcterms:created>
  <dcterms:modified xsi:type="dcterms:W3CDTF">2026-10-14T17:35:47+00:00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