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لعبت البيئة البحرية دورًا بارزًا في تشكيل الهوية البحرينية على مر العصور لما لها من ارتباط وثيق بالاقتصاد والمجتمع البحريني.</w:t>
      </w:r>
    </w:p>
    <w:p>
      <w:pPr/>
      <w:r>
        <w:rPr/>
        <w:t xml:space="preserve"> ولطالما حرصت مملكة البحرين على حماية هذه البيئة وصونها وضمان استدامتها للأجيال القادمة.</w:t>
      </w:r>
    </w:p>
    <w:p>
      <w:pPr/>
      <w:r>
        <w:rPr>
          <w:shd w:val="clear" w:fill="eeee80"/>
        </w:rPr>
        <w:t xml:space="preserve"> وتعتبر جودة البيئة البحرية بمختلف مكوناتها عنصرًا مهما للمحافظة على سلامتها وانتاجيتها.</w:t>
      </w:r>
    </w:p>
    <w:p>
      <w:pPr/>
      <w:r>
        <w:rPr>
          <w:shd w:val="clear" w:fill="eeee80"/>
        </w:rPr>
        <w:t xml:space="preserve"> ولذلك فإن رصد جودة البيئة البحرية والتغيرات التي تطرأ عليها يعتبر من الأدوات المهمة للإدارة البيئية المتكاملة.</w:t>
      </w:r>
    </w:p>
    <w:p>
      <w:pPr/>
      <w:r>
        <w:rPr>
          <w:shd w:val="clear" w:fill="eeee80"/>
        </w:rPr>
        <w:t xml:space="preserve">بدأ أول برنامج لرصد جودة البيئة البحرية عام 1993،</w:t>
      </w:r>
    </w:p>
    <w:p>
      <w:pPr/>
      <w:r>
        <w:rPr/>
        <w:t xml:space="preserve"> ومع مرور الزمن تطورت برامج الرصد لتشمل مواقعًا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2026-10-10T18:03:16+00:00</dcterms:created>
  <dcterms:modified xsi:type="dcterms:W3CDTF">2026-10-10T18:03:16+00:00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