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يعتبر تفعيل الاتحاد خيارا استراتيجيا،</w:t>
      </w:r>
    </w:p>
    <w:p>
      <w:pPr/>
      <w:r>
        <w:rPr>
          <w:shd w:val="clear" w:fill="eeee80"/>
        </w:rPr>
        <w:t xml:space="preserve"> من أجل تكوين تكتل سكاني واقتصادي قوي،</w:t>
      </w:r>
    </w:p>
    <w:p>
      <w:pPr/>
      <w:r>
        <w:rPr/>
        <w:t xml:space="preserve"> قادر على مواجهة تحديات العولمة و منافسة الأقطاب الاقتصادية الكبرى. مما يحتم على الدول المغاربية إنعاش التبادل التجاري بينها، وتجاوز الخلافات المفتعلة.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2026-09-04T22:24:23+00:00</dcterms:created>
  <dcterms:modified xsi:type="dcterms:W3CDTF">2026-09-04T22:24:23+00:00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