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الصفحات الأولى من كتاب “نظام الخطاب” لميشيل فوكو،</w:t>
      </w:r>
    </w:p>
    <w:p>
      <w:pPr/>
      <w:r>
        <w:rPr/>
        <w:t xml:space="preserve"> يُقدم الكاتب تأملات حول الخطاب وتعقيداته، مُشيرًا إلى أنه ليس مجرد وسيلة للتواصل، بل هو أيضًا موضوع للرغبة وأداة للسلطة. يُعبر الخطاب عن الصراعات وأنظمة السيطرة، ويُعتبر شيئًا يُناضل الناس من أجله ويستخدمونه في السيطرة.</w:t>
      </w:r>
    </w:p>
    <w:p>
      <w:pPr/>
      <w:r>
        <w:rPr>
          <w:shd w:val="clear" w:fill="eeee80"/>
        </w:rPr>
        <w:t xml:space="preserve"> يُظهر فوكو أن الخطاب يمكن أن يكون مصدر قلق لمن يتعين عليهم إلقاء الكلمات،</w:t>
      </w:r>
    </w:p>
    <w:p>
      <w:pPr/>
      <w:r>
        <w:rPr/>
        <w:t xml:space="preserve"> مُعبرًا عن رغبة في الاندماج في تيار الخطاب الذي بدأ قبلنا، وتفضيل للتواصل والاستمرارية.</w:t>
      </w:r>
    </w:p>
    <w:p>
      <w:pPr/>
      <w:r>
        <w:rPr>
          <w:shd w:val="clear" w:fill="eeee80"/>
        </w:rPr>
        <w:t xml:space="preserve"> يُعتبر الخطاب ممارسة مؤسسية تُفرض عليها قوانين وطقوس،</w:t>
      </w:r>
    </w:p>
    <w:p>
      <w:pPr/>
      <w:r>
        <w:rPr/>
        <w:t xml:space="preserve"> مما يجعله جزءًا من النظام الاجتماعي والثقافي، وفي الوقت نفسه، تجربة شخصية وعميقة. يُشير النص إلى وجود تخوف من الخطاب نفسه، كونه يحمل القدرة على التأثير والتحكم، مُعبرًا عن القلق من السلطة التي يمكن أن يحملها. هذه الأفكار تُشكل جزءًا من النقاش الأوسع الذي يستكشفه فوكو في كتابه،</w:t>
      </w:r>
    </w:p>
    <w:p>
      <w:pPr/>
      <w:r>
        <w:rPr>
          <w:shd w:val="clear" w:fill="eeee80"/>
        </w:rPr>
        <w:t xml:space="preserve"> حيث يُحاول فهم كيف يُمكن للخطاب أن يُشكل الهويات والعلاقات الاجتماعية والسلطة في المجتمع.</w:t>
      </w:r>
    </w:p>
    <w:p>
      <w:pPr/>
      <w:r>
        <w:rPr/>
        <w:t xml:space="preserve"> يُقدم ميشيل فوكو فرضية تتعلق بالخطاب ودوره في المجتمع. يُشير إلى أن إنتاج الخطاب مراقب ومنظم بشكل دقيق، ويخضع لإجراءات تهدف إلى الحد من سلطته ومخاطره. يُعتبر الخطاب في المجتمعات أداة للسلطة وموضوعًا للرغبة، ويتم التحكم فيه من خلال آليات المنع والقسمة والرفض.</w:t>
      </w:r>
    </w:p>
    <w:p>
      <w:pPr/>
      <w:r>
        <w:rPr>
          <w:shd w:val="clear" w:fill="eeee80"/>
        </w:rPr>
        <w:t xml:space="preserve">يُعرف الخطاب بأنه أكثر من مجرد كلام أو كتابة؛</w:t>
      </w:r>
    </w:p>
    <w:p>
      <w:pPr/>
      <w:r>
        <w:rPr/>
        <w:t xml:space="preserve"> إنه يشمل كل إنتاج لغوي، سواء كان منطوقًا أو مكتوبًا، فرديًا أو جماعيًا، ذاتيًا أو مؤسسيًا. يحمل الخطاب منطقه الداخلي وارتباطاته المؤسسية، ولا يُعبر بالضرورة عن ذات فردية،</w:t>
      </w:r>
    </w:p>
    <w:p>
      <w:pPr/>
      <w:r>
        <w:rPr>
          <w:shd w:val="clear" w:fill="eeee80"/>
        </w:rPr>
        <w:t xml:space="preserve"> بل قد يكون مؤسسة أو فترة زمنية أو فرعًا معينًا.</w:t>
      </w:r>
    </w:p>
    <w:p>
      <w:pPr/>
      <w:r>
        <w:rPr/>
        <w:t xml:space="preserve">يُشير فوكو إلى أن الخطاب ليس بسيطًا كما يبدو؛</w:t>
      </w:r>
    </w:p>
    <w:p>
      <w:pPr/>
      <w:r>
        <w:rPr>
          <w:shd w:val="clear" w:fill="eeee80"/>
        </w:rPr>
        <w:t xml:space="preserve"> فالمنع والقسمة والرفض هي أشكال تكشف عن ارتباط الخطاب بالرغبة والسلطة.</w:t>
      </w:r>
    </w:p>
    <w:p>
      <w:pPr/>
      <w:r>
        <w:rPr/>
        <w:t xml:space="preserve"> يُعتبر الخطاب موقعًا لممارسة السلطة، وهو ما يُناضل الناس من أجله ويستخدمونه في الصراعات وأنظمة السيطرة.يُعالج فوكو أيضًا موضوع العقل والحمق،</w:t>
      </w:r>
    </w:p>
    <w:p>
      <w:pPr/>
      <w:r>
        <w:rPr>
          <w:shd w:val="clear" w:fill="eeee80"/>
        </w:rPr>
        <w:t xml:space="preserve"> مُشيرًا إلى أن الأحمق في العصور الوسطى كان يُعتبر خارج نطاق الخطاب المقبول.</w:t>
      </w:r>
    </w:p>
    <w:p>
      <w:pPr/>
      <w:r>
        <w:rPr/>
        <w:t xml:space="preserve"> كان خطاب الأحمق يُعتبر فارغًا وبلا قيمة، ولكن في بعض الأحيان،</w:t>
      </w:r>
    </w:p>
    <w:p>
      <w:pPr/>
      <w:r>
        <w:rPr>
          <w:shd w:val="clear" w:fill="eeee80"/>
        </w:rPr>
        <w:t xml:space="preserve"> كان يُنسب إليه قدرات غريبة ورؤية لما لا يمكن للآخرين إدراكه.</w:t>
      </w:r>
    </w:p>
    <w:p>
      <w:pPr/>
      <w:r>
        <w:rPr/>
        <w:t xml:space="preserve">تُلخص هذه الأفكار الرئيسية الفرضية التي يُقدمها فوكو حول الخطاب وتعقيداته، وكيف يتم التحكم فيه واستخدامه في المجتمعات، والدور الذي يلعبه في تشكيل السلطة والرغبة. تتناول النصوص التي قدمتها نقاشًا حول مفهوم الحقيقة والخطاب الحقيقي مقابل الخطاب الخاطئ، وكيف تتشكل هذه المفاهيم وتتغير عبر الزمن والسياقات الثقافية. يُظهر التاريخ أن الخطاب الحقيقي كان مرتبطًا بالسلطة والطقوس، لكن مع مرور الوقت، تحولت الحقيقة إلى شيء يُقاس بمعايير مختلفة، مثل المعنى والمرجعية.</w:t>
      </w:r>
    </w:p>
    <w:p>
      <w:pPr/>
      <w:r>
        <w:rPr>
          <w:shd w:val="clear" w:fill="eeee80"/>
        </w:rPr>
        <w:t xml:space="preserve"> يُشير النص إلى أن هذه القسمة بين الحقيقي والخاطئ ليست ثابتة وإنما هي قابلة للتغير ومرتبطة بالإكراهات المؤسسية والتاريخية التي تُشكل إرادتنا للمعرفة.</w:t>
      </w:r>
    </w:p>
    <w:p>
      <w:pPr/>
      <w:r>
        <w:rPr/>
        <w:t xml:space="preserve"> النص يناقش كيف تتشكل إرادة الحقيقة وتأثيرها على الخطابات المختلفة في المجتمع.</w:t>
      </w:r>
    </w:p>
    <w:p>
      <w:pPr/>
      <w:r>
        <w:rPr>
          <w:shd w:val="clear" w:fill="eeee80"/>
        </w:rPr>
        <w:t xml:space="preserve"> يُشير إلى أن إرادة الحقيقة مدعومة بمؤسسات مثل التعليم والنشر والمختبرات،</w:t>
      </w:r>
    </w:p>
    <w:p>
      <w:pPr/>
      <w:r>
        <w:rPr>
          <w:shd w:val="clear" w:fill="eeee80"/>
        </w:rPr>
        <w:t xml:space="preserve"> وتتأثر بكيفية استخدام المعرفة وتوزيعها.</w:t>
      </w:r>
    </w:p>
    <w:p>
      <w:pPr/>
      <w:r>
        <w:rPr>
          <w:shd w:val="clear" w:fill="eeee80"/>
        </w:rPr>
        <w:t xml:space="preserve"> يُعلق النص على الطريقة التي تُمارس بها إرادة الحقيقة ضغطًا على الخطابات الأخرى،</w:t>
      </w:r>
    </w:p>
    <w:p>
      <w:pPr/>
      <w:r>
        <w:rPr/>
        <w:t xml:space="preserve"> مُشبهة إياها بالسلطة. يُناقش أيضًا كيف تُستخدم المعرفة في مجالات مثل الأدب، الاقتصاد، والقانون،</w:t>
      </w:r>
    </w:p>
    <w:p>
      <w:pPr/>
      <w:r>
        <w:rPr>
          <w:shd w:val="clear" w:fill="eeee80"/>
        </w:rPr>
        <w:t xml:space="preserve"> وكيف تُشكل هذه المجالات خطاباتها الخاصة بناءً على مفاهيم الحقيقة.</w:t>
      </w:r>
    </w:p>
    <w:p>
      <w:pPr/>
      <w:r>
        <w:rPr/>
        <w:t xml:space="preserve"> يُشير النص إلى أن إرادة الحقيقة، على الرغم من قوتها وتأثيرها، نادرًا ما يتم مناقشتها بشكل مباشر، وغالبًا ما تكون مخفية خلف الحقيقة التي تُظهرها.</w:t>
      </w:r>
    </w:p>
    <w:p>
      <w:pPr/>
      <w:r>
        <w:rPr>
          <w:shd w:val="clear" w:fill="eeee80"/>
        </w:rPr>
        <w:t xml:space="preserve"> يُلمح إلى أن الخطاب الحقيقي ليس مجرد مسألة رغبة أو سلطة،</w:t>
      </w:r>
    </w:p>
    <w:p>
      <w:pPr/>
      <w:r>
        <w:rPr>
          <w:shd w:val="clear" w:fill="eeee80"/>
        </w:rPr>
        <w:t xml:space="preserve"> بل هو مُحرر من هذه العوامل ويُعبر عن إرادة الحقيقة التي تعود إلى العصور اليونانية القديمة.</w:t>
      </w:r>
    </w:p>
    <w:p>
      <w:pPr/>
      <w:r>
        <w:rPr/>
        <w:t xml:space="preserve">: النص يتحدث عن الإجراءات والأنظمة التي تحكم الخطابات في المجتمعات، مشيرًا إلى وجود إجراءات خارجية تعمل كأنظمة للإبعاد وتتعلق بالسلطة والرغبة. يُشار أيضًا إلى إجراءات داخلية تمارسها الخطابات نفسها، والتي تعمل كمبادئ للتصنيف والتنظيم والتوزيع، مما يؤثر على كيفية تلقي الخطاب وتفسيره.يُناقش النص أيضًا الطبيعة المتغيرة للخطابات، حيث يُفترض وجود “محكيات كبرى” تُسرد وتُردد في المجتمعات، وتُعتبر ذات قيمة كبيرة مثل الأسرار أو الثروات.</w:t>
      </w:r>
    </w:p>
    <w:p>
      <w:pPr/>
      <w:r>
        <w:rPr>
          <w:shd w:val="clear" w:fill="eeee80"/>
        </w:rPr>
        <w:t xml:space="preserve"> يُشير إلى وجود تمييز بين الخطابات اليومية التي تُقال وتزول مع الفعل الذي نطق بها،</w:t>
      </w:r>
    </w:p>
    <w:p>
      <w:pPr/>
      <w:r>
        <w:rPr>
          <w:shd w:val="clear" w:fill="eeee80"/>
        </w:rPr>
        <w:t xml:space="preserve"> والخطابات التي تُعتبر مصدرًا لأفعال قولية جديدة وتظل قابلة للتكرار،</w:t>
      </w:r>
    </w:p>
    <w:p>
      <w:pPr/>
      <w:r>
        <w:rPr/>
        <w:t xml:space="preserve"> مثل النصوص الدينية أو القانونية.باختصار، يُسلط النص الضوء على كيفية تأثير الأنظمة والإجراءات على الخطابات داخل المجتمعات، ويُبرز الدور الذي تلعبه في تشكيل السلطة والرغبة، وكذلك في تحديد القيمة والمعنى للخطابات المختلفة. النص الذي قدمته يتحدث عن الخطابات والنصوص في سياقات مختلفة، ويشير إلى أن هناك تفاوت بين النصوص الأساسية أو المبدعة والنصوص التي تعلق وتشرح.</w:t>
      </w:r>
    </w:p>
    <w:p>
      <w:pPr/>
      <w:r>
        <w:rPr>
          <w:shd w:val="clear" w:fill="eeee80"/>
        </w:rPr>
        <w:t xml:space="preserve"> يُظهر النص أن هذا التفاوت ليس ثابتًا وأن النصوص الأساسية قد تختفي بينما تعليقاتها قد تصبح أكثر أهمية.</w:t>
      </w:r>
    </w:p>
    <w:p>
      <w:pPr/>
      <w:r>
        <w:rPr>
          <w:shd w:val="clear" w:fill="eeee80"/>
        </w:rPr>
        <w:t xml:space="preserve"> يُعرب الكاتب عن وجهة نظر تقول بأن محو هذا التفاوت هو أمر غير ممكن،</w:t>
      </w:r>
    </w:p>
    <w:p>
      <w:pPr/>
      <w:r>
        <w:rPr/>
        <w:t xml:space="preserve"> ويُشبهه بلعبة أو حلم أو قلق.</w:t>
      </w:r>
    </w:p>
    <w:p>
      <w:pPr/>
      <w:r>
        <w:rPr>
          <w:shd w:val="clear" w:fill="eeee80"/>
        </w:rPr>
        <w:t xml:space="preserve"> يُشير النص أيضًا إلى أن الخطابات يمكن أن تكون مثل الألعاب النقدية أو الأحلام الغنائية التي تنبعث من الأشياء والعواطف والأفكار،</w:t>
      </w:r>
    </w:p>
    <w:p>
      <w:pPr/>
      <w:r>
        <w:rPr>
          <w:shd w:val="clear" w:fill="eeee80"/>
        </w:rPr>
        <w:t xml:space="preserve"> ويُقارنها بقلق مريض جانيه الذي كان يرى أي خطاب كأنه يحمل معاني عميقة وغنية.</w:t>
      </w:r>
    </w:p>
    <w:p>
      <w:pPr/>
      <w:r>
        <w:rPr/>
        <w:t xml:space="preserve"> بشكل عام،</w:t>
      </w:r>
    </w:p>
    <w:p>
      <w:pPr/>
      <w:r>
        <w:rPr>
          <w:shd w:val="clear" w:fill="eeee80"/>
        </w:rPr>
        <w:t xml:space="preserve"> يتناول النص فكرة أن الخطابات والنصوص لها أهمية متغيرة وأنها تتفاعل مع بعضها البعض في منظومتنا الثقافية.</w:t>
      </w:r>
    </w:p>
    <w:p>
      <w:pPr/>
      <w:r>
        <w:rPr/>
        <w:t xml:space="preserve"> الأفكار الرئيسية في الفقرة تتمحور حول مفهوم التعليق وعلاقته بالنص الأصلي. يُشير النص إلى أن التعليق لا يُلغي النص الأصلي بل يُعدله ويُضيف إليه، مما يُمكن من تشكيل خطابات جديدة.</w:t>
      </w:r>
    </w:p>
    <w:p>
      <w:pPr/>
      <w:r>
        <w:rPr>
          <w:shd w:val="clear" w:fill="eeee80"/>
        </w:rPr>
        <w:t xml:space="preserve"> يُعتبر التعليق وسيلة لإعادة تفسير النص الأصلي وإضافة معاني جديدة أو كشف معاني مخفية،</w:t>
      </w:r>
    </w:p>
    <w:p>
      <w:pPr/>
      <w:r>
        <w:rPr/>
        <w:t xml:space="preserve"> ولكن في النهاية،</w:t>
      </w:r>
    </w:p>
    <w:p>
      <w:pPr/>
      <w:r>
        <w:rPr>
          <w:shd w:val="clear" w:fill="eeee80"/>
        </w:rPr>
        <w:t xml:space="preserve"> يظل التعليق محصورًا في إعادة صياغة ما هو موجود بالفعل في النص الأصلي،</w:t>
      </w:r>
    </w:p>
    <w:p>
      <w:pPr/>
      <w:r>
        <w:rPr/>
        <w:t xml:space="preserve"> سواء بشكل صريح أو ضمني. يُناقش النص أيضًا العلاقة بين النصوص الأدبية وتعليقاتها عبر الزمن،</w:t>
      </w:r>
    </w:p>
    <w:p>
      <w:pPr/>
      <w:r>
        <w:rPr>
          <w:shd w:val="clear" w:fill="eeee80"/>
        </w:rPr>
        <w:t xml:space="preserve"> مُستشهدًا بالأوديسة وترجمة بيزار وأوليس لجويس كأمثلة على كيفية تطور هذه العلاقة.</w:t>
      </w:r>
    </w:p>
    <w:p>
      <w:pPr/>
      <w:r>
        <w:rPr/>
        <w:t xml:space="preserve">: الأفكار الرئيسية في النص تتمحور حول مفهوم المؤلف ودوره في تحديد معاني النصوص وتأثيرها. يُناقش النص فكرة أن المؤلف ليس مجرد الشخص الذي يكتب، بل هو مبدأ يُعطي النصوص وحدتها وأصل دلالاتها. يُشير النص إلى أن هناك خطابات تتداول دون الحاجة إلى مؤلف معروف، مثل الأحاديث اليومية والمراسيم، ولكن في مجالات مثل الأدب والفلسفة والعلم، يُعتبر الإسناد إلى مؤلف مهمًا. يُلاحظ النص أن دور المؤلف قد تغير عبر الزمن، ففي العصور الوسطى كان الإسناد إلى مؤلف يُعتبر دليلًا على الحقيقة في الخطاب العلمي، بينما في العصر الحديث، تراجعت هذه الوظيفة وأصبحت أقل أهمية. في المقابل، تزايدت أهمية المؤلف في الخطاب الأدبي،</w:t>
      </w:r>
    </w:p>
    <w:p>
      <w:pPr/>
      <w:r>
        <w:rPr>
          <w:shd w:val="clear" w:fill="eeee80"/>
        </w:rPr>
        <w:t xml:space="preserve"> حيث أصبح يُطلب من النصوص الأدبية أن تكشف عن مؤلفها وأن تحمل معها المعنى المخفي الذي يخترقها وأن ترتبط بحياة المؤلف.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2026-10-18T22:27:39+00:00</dcterms:created>
  <dcterms:modified xsi:type="dcterms:W3CDTF">2026-10-18T22:27:39+00:00</dcterms:modified>
</cp:coreProperties>
</file>

<file path=docProps/custom.xml><?xml version="1.0" encoding="utf-8"?>
<Properties xmlns="http://schemas.openxmlformats.org/officeDocument/2006/custom-properties" xmlns:vt="http://schemas.openxmlformats.org/officeDocument/2006/docPropsVTypes"/>
</file>