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يقرر الرسول ﷺ بوضوح أن ما ثبت بسنته الشريفة من أحكام يجب الأخذ بها؛</w:t>
      </w:r>
    </w:p>
    <w:p>
      <w:pPr/>
      <w:r>
        <w:rPr>
          <w:shd w:val="clear" w:fill="eeee80"/>
        </w:rPr>
        <w:t xml:space="preserve"> والنبي ﷺ مبلغ شرع ربه كما يبلغ القرآن الكريم ويبين أحكامه للناس،</w:t>
      </w:r>
    </w:p>
    <w:p>
      <w:pPr/>
      <w:r>
        <w:rPr>
          <w:shd w:val="clear" w:fill="eeee80"/>
        </w:rPr>
        <w:t xml:space="preserve"> وَإِنَّ مَا حَرَّمَ رَسُولُ اللهِ ﷺ كَمَا حَرَّمَ الله ،</w:t>
      </w:r>
    </w:p>
    <w:p>
      <w:pPr/>
      <w:r>
        <w:rPr>
          <w:shd w:val="clear" w:fill="eeee80"/>
        </w:rPr>
        <w:t xml:space="preserve"> وكم من حكم ثبت بالسنة النبوية ولم يأت به نص في القرآن الكريم،</w:t>
      </w:r>
    </w:p>
    <w:p>
      <w:pPr/>
      <w:r>
        <w:rPr>
          <w:shd w:val="clear" w:fill="eeee80"/>
        </w:rPr>
        <w:t xml:space="preserve"> يقول الله كمل: ﴿وَمَا ءَاتَنكُمُ الرَّسُولُ فَخُذُوهُ وَمَا نَهَنكُمْ عَنْهُ فَانتَهُوا وَاتَّقُوا اللَّهَ إِنَّ اللَّهَ شَدِيدُ الْعِقَابِ الحضر (٧)،</w:t>
      </w:r>
    </w:p>
    <w:p>
      <w:pPr/>
      <w:r>
        <w:rPr>
          <w:shd w:val="clear" w:fill="eeee80"/>
        </w:rPr>
        <w:t xml:space="preserve"> قال له: وَأَنزَلْنَا إِلَيْكَ الذِّكْرَ لِتُبَيِّنَ لِلنَّاسِ مَا نُزِّلَ نبيه أن يبين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2026-09-20T22:51:20+00:00</dcterms:created>
  <dcterms:modified xsi:type="dcterms:W3CDTF">2026-09-20T22:51:20+00:00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