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Eric T. Poehlman, Ph.D., was an internationally recognized, tenured professor at the University of Vermont (UVM) in Burlington when, in October 2000, a junior member of Poehlman's laboratory became convinced that he had altered data from a study on aging volunteers from the Burlington area.</w:t>
      </w:r>
    </w:p>
    <w:p>
      <w:pPr/>
      <w:r>
        <w:rPr/>
        <w:t xml:space="preserve"> This suspicion developed into one of the most significant cases of scientific misconduct in the history of the US Department of Health and Human Services' (HHS) Office of Research Integrity (ORI), launching a US Department of Justice (DOJ) civil and criminal fraud investigation and, eventually, to a much publicized guilty plea and felony conviction. In the end, Dr. Poehlman admitted to 54 findings of scientific misconduct made by the UVM and ORI, agreed to retract or correct ten of his publications and to exclude himself from federal procurement and nonprocurement transactions for life. The United States Government's handling of this case was distinguished by a highly cooperative approach that integrated the resources of the US Attorney's Office for the District of Vermont (USAO) and both ORI and the Office of the Inspector General (OIG) in HHS in the common goal of prosecuting research fraud.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2026-10-20T12:57:32+00:00</dcterms:created>
  <dcterms:modified xsi:type="dcterms:W3CDTF">2026-10-20T12:57:32+00:00</dcterms:modified>
</cp:coreProperties>
</file>

<file path=docProps/custom.xml><?xml version="1.0" encoding="utf-8"?>
<Properties xmlns="http://schemas.openxmlformats.org/officeDocument/2006/custom-properties" xmlns:vt="http://schemas.openxmlformats.org/officeDocument/2006/docPropsVTypes"/>
</file>