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اتسمت به هذه المرحلة من قلة الوعي المهني والجمالي لدى العاملين في هذا المجال،  تقوم على أساس فكرة تحقيق التوازن التيبوغ ارفي الشكلي بين عناصر الصفحة من خلال العمل على إخراج الصفحات على نحو متوازن باستخدام العناصر الطباعية المتماثلة في بناء الوحدات المنشورة في المواقع المتقابلة لتبدو الصفحة متوازنة من ناحيتي الأشكال والأثقال،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