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Central banks use a variety of institutions to achieve macroeconomic goals, including stable interest rates, economic growth, employment, and balance of payments. </w:t>
      </w:r>
    </w:p>
    <w:p>
      <w:pPr/>
      <w:r>
        <w:rPr>
          <w:shd w:val="clear" w:fill="eeee80"/>
        </w:rPr>
        <w:t xml:space="preserve">Let's consider how these mechanisms contribute to these dreams in the context of Kuwait: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2026-10-05T02:59:16+00:00</dcterms:created>
  <dcterms:modified xsi:type="dcterms:W3CDTF">2026-10-05T02:59:16+00:00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