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	تركيز منظومة معلومات على مستوى الوكالة تمكن من تجميع المعطيات المتعلقة بمؤشرات استهلاك الطاقة.</w:t>
      </w:r>
    </w:p>
    <w:p>
      <w:pPr/>
      <w:r>
        <w:rPr>
          <w:shd w:val="clear" w:fill="eeee80"/>
        </w:rPr>
        <w:t xml:space="preserve">-	حث الوكالة المؤسسات والمنشآت العمومية على انجاز تدقيق طاقي والقيام بدراسات الجدوى حول تركيز الطاقات المتجددة وضبط مخطط استثماري في الغرض.</w:t>
      </w:r>
    </w:p>
    <w:p>
      <w:pPr/>
      <w:r>
        <w:rPr>
          <w:shd w:val="clear" w:fill="eeee80"/>
        </w:rPr>
        <w:t xml:space="preserve">-	تنفيذ الوكالة برنامج لتنمية قدرات مختلف المتدخلين العموميين في ميدان التحكم في الطاقة.</w:t>
      </w:r>
    </w:p>
    <w:p>
      <w:pPr/>
      <w:r>
        <w:rPr>
          <w:shd w:val="clear" w:fill="eeee80"/>
        </w:rPr>
        <w:t xml:space="preserve">-	وضع آلية رقابية صارمة ونظام عقوبات رادع للمخالفين.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2026-10-08T10:42:23+00:00</dcterms:created>
  <dcterms:modified xsi:type="dcterms:W3CDTF">2026-10-08T10:42:23+00:00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