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Clinical interpretation:?Evidence is not yet sufficient to conclude that resmetirom prevents cirrhosis, hepatic decompensation, transplantation, liver cancer, cardiovascular events, or mortality.Not a substitute for metabolic management: It is indicated with diet and exercise, while diabetes, obesity, hypertension, and dyslipidemia still require optimized management.Lipid benefit: The LDL-C reduction may be particularly advantageous because many patients with MASH have substantial cardiometabolic risk.No established hard-outcome benefit yet: Current approvals are based on surrogate histologic endpoints.MASH resolution: Absolute benefit was approximately 16-20 percentage points beyond placebo.Fibrosis regression: Absolute benefit was approximately 10-12 percentage points beyond placebo.????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2026-10-06T06:35:21+00:00</dcterms:created>
  <dcterms:modified xsi:type="dcterms:W3CDTF">2026-10-06T06:35:21+00:00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